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15008E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5008E">
        <w:rPr>
          <w:rFonts w:ascii="Arial" w:hAnsi="Arial" w:cs="Arial"/>
          <w:b/>
          <w:bCs/>
          <w:sz w:val="24"/>
          <w:szCs w:val="24"/>
        </w:rPr>
        <w:t>Title:</w:t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="005E5DF9" w:rsidRPr="0015008E">
        <w:rPr>
          <w:rFonts w:ascii="Arial" w:hAnsi="Arial" w:cs="Arial"/>
          <w:b/>
          <w:bCs/>
          <w:sz w:val="28"/>
          <w:szCs w:val="28"/>
        </w:rPr>
        <w:t>C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ontinuing Care Assistant (C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>CA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)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="00FE64B4" w:rsidRPr="0015008E">
        <w:rPr>
          <w:rFonts w:ascii="Arial" w:hAnsi="Arial" w:cs="Arial"/>
          <w:b/>
          <w:bCs/>
          <w:sz w:val="28"/>
          <w:szCs w:val="28"/>
        </w:rPr>
        <w:t>–</w:t>
      </w:r>
      <w:r w:rsidR="0069751B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5008E">
        <w:rPr>
          <w:rFonts w:ascii="Arial" w:hAnsi="Arial" w:cs="Arial"/>
          <w:b/>
          <w:bCs/>
          <w:sz w:val="28"/>
          <w:szCs w:val="28"/>
        </w:rPr>
        <w:t>Permanent</w:t>
      </w:r>
      <w:r w:rsidR="005410FF" w:rsidRPr="0015008E">
        <w:rPr>
          <w:rFonts w:ascii="Arial" w:hAnsi="Arial" w:cs="Arial"/>
          <w:b/>
          <w:bCs/>
          <w:sz w:val="28"/>
          <w:szCs w:val="28"/>
        </w:rPr>
        <w:t xml:space="preserve"> –</w:t>
      </w:r>
      <w:r w:rsidR="00191793">
        <w:rPr>
          <w:rFonts w:ascii="Arial" w:hAnsi="Arial" w:cs="Arial"/>
          <w:b/>
          <w:bCs/>
          <w:sz w:val="28"/>
          <w:szCs w:val="28"/>
        </w:rPr>
        <w:t xml:space="preserve"> Full</w:t>
      </w:r>
      <w:r w:rsidR="005C4753" w:rsidRPr="0015008E">
        <w:rPr>
          <w:rFonts w:ascii="Arial" w:hAnsi="Arial" w:cs="Arial"/>
          <w:b/>
          <w:bCs/>
          <w:sz w:val="28"/>
          <w:szCs w:val="28"/>
        </w:rPr>
        <w:t xml:space="preserve"> Time </w:t>
      </w:r>
      <w:r w:rsidR="006843CC">
        <w:rPr>
          <w:rFonts w:ascii="Arial" w:hAnsi="Arial" w:cs="Arial"/>
          <w:b/>
          <w:bCs/>
          <w:sz w:val="28"/>
          <w:szCs w:val="28"/>
        </w:rPr>
        <w:t xml:space="preserve"> - 2 Positions</w:t>
      </w:r>
      <w:bookmarkStart w:id="0" w:name="_GoBack"/>
      <w:bookmarkEnd w:id="0"/>
    </w:p>
    <w:p w:rsidR="006C7A2F" w:rsidRPr="0015008E" w:rsidRDefault="00416CF0" w:rsidP="0047169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191793">
        <w:rPr>
          <w:rFonts w:ascii="Arial" w:hAnsi="Arial" w:cs="Arial"/>
          <w:b/>
          <w:bCs/>
          <w:sz w:val="24"/>
          <w:szCs w:val="24"/>
        </w:rPr>
        <w:t>80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191793">
        <w:rPr>
          <w:rFonts w:ascii="Arial" w:hAnsi="Arial" w:cs="Arial"/>
          <w:b/>
          <w:bCs/>
          <w:sz w:val="24"/>
          <w:szCs w:val="24"/>
        </w:rPr>
        <w:t>Immediately</w:t>
      </w:r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91793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A108F"/>
    <w:rsid w:val="003B33C2"/>
    <w:rsid w:val="003B3A25"/>
    <w:rsid w:val="003F0E1C"/>
    <w:rsid w:val="003F3A4E"/>
    <w:rsid w:val="00407DF8"/>
    <w:rsid w:val="00416CF0"/>
    <w:rsid w:val="004647C0"/>
    <w:rsid w:val="00466869"/>
    <w:rsid w:val="00471690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43CC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234DF"/>
    <w:rsid w:val="00E2617B"/>
    <w:rsid w:val="00E36194"/>
    <w:rsid w:val="00E439B9"/>
    <w:rsid w:val="00E55FF3"/>
    <w:rsid w:val="00E5789E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69827-48F9-40E2-8045-919CA9F1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3</cp:revision>
  <cp:lastPrinted>2017-05-12T11:58:00Z</cp:lastPrinted>
  <dcterms:created xsi:type="dcterms:W3CDTF">2019-08-01T13:36:00Z</dcterms:created>
  <dcterms:modified xsi:type="dcterms:W3CDTF">2019-08-07T17:57:00Z</dcterms:modified>
</cp:coreProperties>
</file>