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81" w:rsidRDefault="00DE2A81" w:rsidP="00DE2A81">
      <w:pPr>
        <w:rPr>
          <w:rFonts w:ascii="Calibri" w:hAnsi="Calibri" w:cs="ArialNarrow"/>
          <w:b/>
        </w:rPr>
      </w:pPr>
      <w:bookmarkStart w:id="0" w:name="_GoBack"/>
      <w:bookmarkEnd w:id="0"/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87268C" w:rsidP="0087268C">
      <w:pPr>
        <w:jc w:val="center"/>
        <w:rPr>
          <w:rFonts w:ascii="Calibri" w:hAnsi="Calibri" w:cs="ArialNarrow"/>
          <w:b/>
        </w:rPr>
      </w:pPr>
      <w:r>
        <w:rPr>
          <w:rFonts w:ascii="Calibri" w:hAnsi="Calibri" w:cs="ArialNarrow"/>
          <w:b/>
          <w:noProof/>
          <w:lang w:val="en-CA" w:eastAsia="en-CA"/>
        </w:rPr>
        <w:drawing>
          <wp:inline distT="0" distB="0" distL="0" distR="0">
            <wp:extent cx="4694555" cy="1798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C0A" w:rsidRDefault="00EF2C0A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Shoreham Village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Resident Care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Scorecard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</w:p>
    <w:p w:rsidR="00EF2C0A" w:rsidRDefault="00620026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2nd</w:t>
      </w:r>
      <w:r w:rsidR="00D77584">
        <w:rPr>
          <w:rFonts w:ascii="Calibri" w:hAnsi="Calibri" w:cs="ArialNarrow"/>
          <w:b/>
          <w:sz w:val="48"/>
          <w:szCs w:val="48"/>
        </w:rPr>
        <w:t xml:space="preserve"> Quarter 202</w:t>
      </w:r>
      <w:r w:rsidR="00CA219D">
        <w:rPr>
          <w:rFonts w:ascii="Calibri" w:hAnsi="Calibri" w:cs="ArialNarrow"/>
          <w:b/>
          <w:sz w:val="48"/>
          <w:szCs w:val="48"/>
        </w:rPr>
        <w:t>1</w:t>
      </w:r>
      <w:r w:rsidR="00D77584">
        <w:rPr>
          <w:rFonts w:ascii="Calibri" w:hAnsi="Calibri" w:cs="ArialNarrow"/>
          <w:b/>
          <w:sz w:val="48"/>
          <w:szCs w:val="48"/>
        </w:rPr>
        <w:t>/2</w:t>
      </w:r>
      <w:r w:rsidR="00CA219D">
        <w:rPr>
          <w:rFonts w:ascii="Calibri" w:hAnsi="Calibri" w:cs="ArialNarrow"/>
          <w:b/>
          <w:sz w:val="48"/>
          <w:szCs w:val="48"/>
        </w:rPr>
        <w:t>2</w:t>
      </w:r>
    </w:p>
    <w:p w:rsidR="00EF2C0A" w:rsidRDefault="00EF2C0A" w:rsidP="00DE2A81">
      <w:pPr>
        <w:rPr>
          <w:rFonts w:ascii="Calibri" w:hAnsi="Calibri" w:cs="ArialNarrow"/>
          <w:b/>
          <w:sz w:val="48"/>
          <w:szCs w:val="48"/>
        </w:rPr>
      </w:pPr>
    </w:p>
    <w:p w:rsidR="005B5C4A" w:rsidRPr="00EF2C0A" w:rsidRDefault="005B5C4A" w:rsidP="00DE2A81">
      <w:pPr>
        <w:rPr>
          <w:rFonts w:ascii="Calibri" w:hAnsi="Calibri" w:cs="ArialNarrow"/>
          <w:b/>
          <w:sz w:val="48"/>
          <w:szCs w:val="48"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tbl>
      <w:tblPr>
        <w:tblW w:w="1120" w:type="dxa"/>
        <w:tblLook w:val="05A0" w:firstRow="1" w:lastRow="0" w:firstColumn="1" w:lastColumn="1" w:noHBand="0" w:noVBand="1"/>
      </w:tblPr>
      <w:tblGrid>
        <w:gridCol w:w="1120"/>
      </w:tblGrid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EF2C0A" w:rsidRDefault="00EF2C0A" w:rsidP="00DE2A81">
      <w:pPr>
        <w:rPr>
          <w:rFonts w:ascii="Calibri" w:hAnsi="Calibri" w:cs="ArialNarrow"/>
          <w:b/>
        </w:rPr>
      </w:pP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lastRenderedPageBreak/>
        <w:t>Occupancy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CF1910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2</w:t>
      </w: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Incident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4</w:t>
      </w: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Infection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6</w:t>
      </w:r>
    </w:p>
    <w:p w:rsidR="00EF2C0A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Hand Hygiene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6E1573">
        <w:rPr>
          <w:rFonts w:ascii="Calibri" w:hAnsi="Calibri" w:cs="ArialNarrow"/>
          <w:sz w:val="32"/>
          <w:szCs w:val="32"/>
        </w:rPr>
        <w:t>9</w:t>
      </w:r>
    </w:p>
    <w:p w:rsidR="009B2164" w:rsidRPr="00CF1910" w:rsidRDefault="009B2164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>
        <w:rPr>
          <w:rFonts w:ascii="Calibri" w:hAnsi="Calibri" w:cs="ArialNarrow"/>
          <w:sz w:val="32"/>
          <w:szCs w:val="32"/>
        </w:rPr>
        <w:t>Volunteer Rates</w:t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 w:rsidR="006E1573">
        <w:rPr>
          <w:rFonts w:ascii="Calibri" w:hAnsi="Calibri" w:cs="ArialNarrow"/>
          <w:sz w:val="32"/>
          <w:szCs w:val="32"/>
        </w:rPr>
        <w:t>10</w:t>
      </w: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5B5C4A" w:rsidRDefault="005B5C4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2958B0" w:rsidP="002958B0">
      <w:pPr>
        <w:tabs>
          <w:tab w:val="left" w:pos="6252"/>
        </w:tabs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ab/>
      </w: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7D2620" w:rsidRDefault="007D2620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A61FAD" w:rsidRDefault="00A61FAD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4E05ED" w:rsidRDefault="004E05ED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7D2620" w:rsidRDefault="007D2620" w:rsidP="00DE2A81">
      <w:pPr>
        <w:rPr>
          <w:rFonts w:ascii="Calibri" w:hAnsi="Calibri" w:cs="ArialNarrow"/>
          <w:b/>
        </w:rPr>
      </w:pPr>
    </w:p>
    <w:p w:rsidR="00BE065B" w:rsidRDefault="007C02F8" w:rsidP="00BE065B">
      <w:pPr>
        <w:pStyle w:val="Heading1"/>
      </w:pPr>
      <w:r>
        <w:t>1.0</w:t>
      </w:r>
      <w:r>
        <w:tab/>
      </w:r>
      <w:r w:rsidR="00BE065B">
        <w:t>Shoreham Village Occupancy Rate Q</w:t>
      </w:r>
      <w:r w:rsidR="00CA219D">
        <w:t>2</w:t>
      </w:r>
      <w:r w:rsidR="00BE065B">
        <w:t xml:space="preserve"> </w:t>
      </w:r>
      <w:r w:rsidR="00EF7D9B">
        <w:t>July</w:t>
      </w:r>
      <w:r w:rsidR="00C82E0F">
        <w:t xml:space="preserve"> </w:t>
      </w:r>
      <w:r w:rsidR="00001E76">
        <w:t xml:space="preserve">- </w:t>
      </w:r>
      <w:r w:rsidR="00EF7D9B">
        <w:t>Sept</w:t>
      </w:r>
      <w:r w:rsidR="002A3CF7">
        <w:t xml:space="preserve"> 202</w:t>
      </w:r>
      <w:r w:rsidR="00CA219D">
        <w:t>1/22</w:t>
      </w:r>
      <w:r w:rsidR="008B5A9E">
        <w:t xml:space="preserve"> </w:t>
      </w:r>
    </w:p>
    <w:p w:rsidR="00BE065B" w:rsidRDefault="00BE065B" w:rsidP="00BE065B">
      <w:pPr>
        <w:rPr>
          <w:rFonts w:ascii="Calibri" w:hAnsi="Calibri" w:cs="ArialNarrow"/>
          <w:b/>
        </w:rPr>
      </w:pPr>
    </w:p>
    <w:p w:rsidR="00BE065B" w:rsidRDefault="00BE065B" w:rsidP="00881F7F">
      <w:pPr>
        <w:pStyle w:val="Heading1"/>
      </w:pPr>
      <w:r w:rsidRPr="00AE20EC">
        <w:t xml:space="preserve">The Average Occupancy Rate for the </w:t>
      </w:r>
      <w:r w:rsidR="00FE6473">
        <w:t>Q</w:t>
      </w:r>
      <w:r w:rsidR="00EF7D9B">
        <w:t>2 July - Sept</w:t>
      </w:r>
      <w:r w:rsidR="002A3CF7">
        <w:t xml:space="preserve"> 202</w:t>
      </w:r>
      <w:r w:rsidR="00CA219D">
        <w:t>1</w:t>
      </w:r>
      <w:r w:rsidR="002A3CF7">
        <w:t>/2</w:t>
      </w:r>
      <w:r w:rsidR="00CA219D">
        <w:t>2</w:t>
      </w:r>
      <w:r w:rsidR="00FE6473">
        <w:t xml:space="preserve"> </w:t>
      </w:r>
      <w:r w:rsidRPr="00AE20EC">
        <w:t xml:space="preserve">– </w:t>
      </w:r>
      <w:r w:rsidR="001D4DA3">
        <w:t>9</w:t>
      </w:r>
      <w:r w:rsidR="00CA219D">
        <w:t>4</w:t>
      </w:r>
      <w:r w:rsidR="001D4DA3">
        <w:t>.</w:t>
      </w:r>
      <w:r w:rsidR="00CA219D">
        <w:t>57</w:t>
      </w:r>
      <w:r w:rsidR="0087268C">
        <w:t>%</w:t>
      </w:r>
      <w:r w:rsidR="00881F7F">
        <w:t xml:space="preserve"> (average </w:t>
      </w:r>
      <w:r w:rsidR="00CA219D">
        <w:t>4</w:t>
      </w:r>
      <w:r w:rsidR="00ED6671">
        <w:t>.8</w:t>
      </w:r>
      <w:r w:rsidR="0087268C">
        <w:t xml:space="preserve"> </w:t>
      </w:r>
      <w:r w:rsidR="00001E76">
        <w:t>vacant beds per day)</w:t>
      </w:r>
      <w:r w:rsidR="00EF3F41">
        <w:t>.</w:t>
      </w:r>
    </w:p>
    <w:p w:rsidR="00BE065B" w:rsidRDefault="00BE065B" w:rsidP="000260BD">
      <w:pPr>
        <w:rPr>
          <w:rFonts w:ascii="Calibri" w:hAnsi="Calibri" w:cs="ArialNarrow"/>
        </w:rPr>
      </w:pPr>
    </w:p>
    <w:p w:rsidR="00BE065B" w:rsidRDefault="00BE065B" w:rsidP="000260BD">
      <w:pPr>
        <w:rPr>
          <w:rFonts w:ascii="Calibri" w:hAnsi="Calibri" w:cs="ArialNarrow"/>
        </w:rPr>
      </w:pPr>
      <w:r w:rsidRPr="000D12E5">
        <w:rPr>
          <w:rFonts w:ascii="Calibri" w:hAnsi="Calibri" w:cs="ArialNarrow"/>
          <w:noProof/>
          <w:bdr w:val="single" w:sz="6" w:space="0" w:color="auto"/>
          <w:lang w:val="en-CA" w:eastAsia="en-CA"/>
        </w:rPr>
        <w:drawing>
          <wp:inline distT="0" distB="0" distL="0" distR="0">
            <wp:extent cx="6126480" cy="32575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065B" w:rsidRDefault="00BE065B" w:rsidP="000260BD">
      <w:pPr>
        <w:rPr>
          <w:rFonts w:ascii="Calibri" w:hAnsi="Calibri" w:cs="ArialNarrow"/>
        </w:rPr>
      </w:pPr>
    </w:p>
    <w:p w:rsidR="006A2058" w:rsidRDefault="006A2058" w:rsidP="000260BD">
      <w:pPr>
        <w:rPr>
          <w:rFonts w:ascii="Calibri" w:hAnsi="Calibri" w:cs="ArialNarrow"/>
        </w:rPr>
      </w:pPr>
      <w:r w:rsidRPr="004C2D51">
        <w:rPr>
          <w:rFonts w:ascii="Calibri" w:hAnsi="Calibri" w:cs="ArialNarrow"/>
          <w:noProof/>
          <w:bdr w:val="single" w:sz="4" w:space="0" w:color="auto"/>
          <w:lang w:val="en-CA" w:eastAsia="en-CA"/>
        </w:rPr>
        <w:drawing>
          <wp:inline distT="0" distB="0" distL="0" distR="0">
            <wp:extent cx="6126480" cy="3267075"/>
            <wp:effectExtent l="0" t="0" r="762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2620" w:rsidRDefault="007D2620" w:rsidP="000260BD">
      <w:pPr>
        <w:rPr>
          <w:rFonts w:ascii="Calibri" w:hAnsi="Calibri" w:cs="ArialNarrow"/>
          <w:b/>
        </w:rPr>
      </w:pPr>
    </w:p>
    <w:p w:rsidR="000A4A87" w:rsidRDefault="000A4A87" w:rsidP="000260BD">
      <w:pPr>
        <w:rPr>
          <w:rFonts w:ascii="Calibri" w:hAnsi="Calibri" w:cs="ArialNarrow"/>
          <w:b/>
        </w:rPr>
      </w:pPr>
    </w:p>
    <w:p w:rsidR="003E57E2" w:rsidRDefault="003E57E2" w:rsidP="000260BD">
      <w:pPr>
        <w:rPr>
          <w:rFonts w:ascii="Calibri" w:hAnsi="Calibri" w:cs="ArialNarrow"/>
          <w:b/>
        </w:rPr>
      </w:pPr>
    </w:p>
    <w:p w:rsidR="003E57E2" w:rsidRDefault="003E57E2" w:rsidP="000260BD">
      <w:pPr>
        <w:rPr>
          <w:rFonts w:ascii="Calibri" w:hAnsi="Calibri" w:cs="ArialNarrow"/>
          <w:b/>
        </w:rPr>
      </w:pPr>
    </w:p>
    <w:p w:rsidR="000260BD" w:rsidRPr="00C62BFD" w:rsidRDefault="000260BD" w:rsidP="000260BD">
      <w:pPr>
        <w:rPr>
          <w:rFonts w:ascii="Calibri" w:hAnsi="Calibri" w:cs="ArialNarrow"/>
          <w:b/>
        </w:rPr>
      </w:pPr>
      <w:r w:rsidRPr="00C62BFD">
        <w:rPr>
          <w:rFonts w:ascii="Calibri" w:hAnsi="Calibri" w:cs="ArialNarrow"/>
          <w:b/>
        </w:rPr>
        <w:t>Comments:</w:t>
      </w:r>
    </w:p>
    <w:p w:rsidR="006F314C" w:rsidRDefault="006F314C" w:rsidP="000260BD">
      <w:pPr>
        <w:rPr>
          <w:rFonts w:ascii="Calibri" w:hAnsi="Calibri" w:cs="ArialNarrow"/>
        </w:rPr>
      </w:pPr>
    </w:p>
    <w:p w:rsidR="007A7E7D" w:rsidRDefault="00CF4AE4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The </w:t>
      </w:r>
      <w:r w:rsidR="00F048BA">
        <w:rPr>
          <w:rFonts w:ascii="Calibri" w:hAnsi="Calibri" w:cs="ArialNarrow"/>
        </w:rPr>
        <w:t xml:space="preserve">DHW target </w:t>
      </w:r>
      <w:r>
        <w:rPr>
          <w:rFonts w:ascii="Calibri" w:hAnsi="Calibri" w:cs="ArialNarrow"/>
        </w:rPr>
        <w:t xml:space="preserve">occupancy rate </w:t>
      </w:r>
      <w:r w:rsidR="001D0D53">
        <w:rPr>
          <w:rFonts w:ascii="Calibri" w:hAnsi="Calibri" w:cs="ArialNarrow"/>
        </w:rPr>
        <w:t xml:space="preserve">for budgeting </w:t>
      </w:r>
      <w:r>
        <w:rPr>
          <w:rFonts w:ascii="Calibri" w:hAnsi="Calibri" w:cs="ArialNarrow"/>
        </w:rPr>
        <w:t>i</w:t>
      </w:r>
      <w:r w:rsidR="00F048BA">
        <w:rPr>
          <w:rFonts w:ascii="Calibri" w:hAnsi="Calibri" w:cs="ArialNarrow"/>
        </w:rPr>
        <w:t>s 99.2%</w:t>
      </w:r>
      <w:r w:rsidR="001D0D53">
        <w:rPr>
          <w:rFonts w:ascii="Calibri" w:hAnsi="Calibri" w:cs="ArialNarrow"/>
        </w:rPr>
        <w:t>. F</w:t>
      </w:r>
      <w:r w:rsidR="00F048BA">
        <w:rPr>
          <w:rFonts w:ascii="Calibri" w:hAnsi="Calibri" w:cs="ArialNarrow"/>
        </w:rPr>
        <w:t xml:space="preserve">or Shoreham Village </w:t>
      </w:r>
      <w:r w:rsidR="001D0D53">
        <w:rPr>
          <w:rFonts w:ascii="Calibri" w:hAnsi="Calibri" w:cs="ArialNarrow"/>
        </w:rPr>
        <w:t xml:space="preserve">this </w:t>
      </w:r>
      <w:r w:rsidR="00F048BA">
        <w:rPr>
          <w:rFonts w:ascii="Calibri" w:hAnsi="Calibri" w:cs="ArialNarrow"/>
        </w:rPr>
        <w:t xml:space="preserve">equates to an average of .7 vacant beds per day.  </w:t>
      </w:r>
    </w:p>
    <w:p w:rsidR="007A7E7D" w:rsidRDefault="007A7E7D" w:rsidP="00CF4AE4">
      <w:pPr>
        <w:rPr>
          <w:rFonts w:ascii="Calibri" w:hAnsi="Calibri" w:cs="ArialNarrow"/>
        </w:rPr>
      </w:pPr>
    </w:p>
    <w:p w:rsidR="009848F5" w:rsidRDefault="001D0D53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This</w:t>
      </w:r>
      <w:r w:rsidR="00F048BA">
        <w:rPr>
          <w:rFonts w:ascii="Calibri" w:hAnsi="Calibri" w:cs="ArialNarrow"/>
        </w:rPr>
        <w:t xml:space="preserve"> quarter</w:t>
      </w:r>
      <w:r w:rsidR="007E6268">
        <w:rPr>
          <w:rFonts w:ascii="Calibri" w:hAnsi="Calibri" w:cs="ArialNarrow"/>
        </w:rPr>
        <w:t xml:space="preserve"> the</w:t>
      </w:r>
      <w:r w:rsidR="00F048BA">
        <w:rPr>
          <w:rFonts w:ascii="Calibri" w:hAnsi="Calibri" w:cs="ArialNarrow"/>
        </w:rPr>
        <w:t xml:space="preserve"> occupancy rate was </w:t>
      </w:r>
      <w:r w:rsidR="00ED6671">
        <w:rPr>
          <w:rFonts w:ascii="Calibri" w:hAnsi="Calibri" w:cs="ArialNarrow"/>
        </w:rPr>
        <w:t>9</w:t>
      </w:r>
      <w:r w:rsidR="001121A0">
        <w:rPr>
          <w:rFonts w:ascii="Calibri" w:hAnsi="Calibri" w:cs="ArialNarrow"/>
        </w:rPr>
        <w:t>4</w:t>
      </w:r>
      <w:r w:rsidR="00ED6671">
        <w:rPr>
          <w:rFonts w:ascii="Calibri" w:hAnsi="Calibri" w:cs="ArialNarrow"/>
        </w:rPr>
        <w:t>.</w:t>
      </w:r>
      <w:r w:rsidR="001121A0">
        <w:rPr>
          <w:rFonts w:ascii="Calibri" w:hAnsi="Calibri" w:cs="ArialNarrow"/>
        </w:rPr>
        <w:t>57</w:t>
      </w:r>
      <w:r w:rsidR="00ED6671">
        <w:rPr>
          <w:rFonts w:ascii="Calibri" w:hAnsi="Calibri" w:cs="ArialNarrow"/>
        </w:rPr>
        <w:t>% (</w:t>
      </w:r>
      <w:r w:rsidR="001121A0">
        <w:rPr>
          <w:rFonts w:ascii="Calibri" w:hAnsi="Calibri" w:cs="ArialNarrow"/>
        </w:rPr>
        <w:t>4</w:t>
      </w:r>
      <w:r w:rsidR="00ED6671">
        <w:rPr>
          <w:rFonts w:ascii="Calibri" w:hAnsi="Calibri" w:cs="ArialNarrow"/>
        </w:rPr>
        <w:t>.8</w:t>
      </w:r>
      <w:r w:rsidR="002622EC">
        <w:rPr>
          <w:rFonts w:ascii="Calibri" w:hAnsi="Calibri" w:cs="ArialNarrow"/>
        </w:rPr>
        <w:t xml:space="preserve"> </w:t>
      </w:r>
      <w:r w:rsidR="00DE1D97">
        <w:rPr>
          <w:rFonts w:ascii="Calibri" w:hAnsi="Calibri" w:cs="ArialNarrow"/>
        </w:rPr>
        <w:t>average vacant beds per day)</w:t>
      </w:r>
      <w:r w:rsidR="00F048BA">
        <w:rPr>
          <w:rFonts w:ascii="Calibri" w:hAnsi="Calibri" w:cs="ArialNarrow"/>
        </w:rPr>
        <w:t xml:space="preserve">.  The </w:t>
      </w:r>
      <w:r w:rsidR="000A4A87">
        <w:rPr>
          <w:rFonts w:ascii="Calibri" w:hAnsi="Calibri" w:cs="ArialNarrow"/>
        </w:rPr>
        <w:t xml:space="preserve">rate is </w:t>
      </w:r>
      <w:r w:rsidR="001121A0">
        <w:rPr>
          <w:rFonts w:ascii="Calibri" w:hAnsi="Calibri" w:cs="ArialNarrow"/>
        </w:rPr>
        <w:t>increased over t</w:t>
      </w:r>
      <w:r w:rsidR="002622EC">
        <w:rPr>
          <w:rFonts w:ascii="Calibri" w:hAnsi="Calibri" w:cs="ArialNarrow"/>
        </w:rPr>
        <w:t>he 1</w:t>
      </w:r>
      <w:r w:rsidR="002622EC" w:rsidRPr="002622EC">
        <w:rPr>
          <w:rFonts w:ascii="Calibri" w:hAnsi="Calibri" w:cs="ArialNarrow"/>
          <w:vertAlign w:val="superscript"/>
        </w:rPr>
        <w:t>st</w:t>
      </w:r>
      <w:r w:rsidR="00ED6671">
        <w:rPr>
          <w:rFonts w:ascii="Calibri" w:hAnsi="Calibri" w:cs="ArialNarrow"/>
        </w:rPr>
        <w:t xml:space="preserve"> quarter of 20</w:t>
      </w:r>
      <w:r w:rsidR="001121A0">
        <w:rPr>
          <w:rFonts w:ascii="Calibri" w:hAnsi="Calibri" w:cs="ArialNarrow"/>
        </w:rPr>
        <w:t>21</w:t>
      </w:r>
      <w:r w:rsidR="00ED6671">
        <w:rPr>
          <w:rFonts w:ascii="Calibri" w:hAnsi="Calibri" w:cs="ArialNarrow"/>
        </w:rPr>
        <w:t>/2</w:t>
      </w:r>
      <w:r w:rsidR="001121A0">
        <w:rPr>
          <w:rFonts w:ascii="Calibri" w:hAnsi="Calibri" w:cs="ArialNarrow"/>
        </w:rPr>
        <w:t>2</w:t>
      </w:r>
      <w:r w:rsidR="00ED6671">
        <w:rPr>
          <w:rFonts w:ascii="Calibri" w:hAnsi="Calibri" w:cs="ArialNarrow"/>
        </w:rPr>
        <w:t xml:space="preserve"> </w:t>
      </w:r>
      <w:r w:rsidR="001121A0">
        <w:rPr>
          <w:rFonts w:ascii="Calibri" w:hAnsi="Calibri" w:cs="ArialNarrow"/>
        </w:rPr>
        <w:t xml:space="preserve">(93.23%) </w:t>
      </w:r>
      <w:r w:rsidR="00ED6671">
        <w:rPr>
          <w:rFonts w:ascii="Calibri" w:hAnsi="Calibri" w:cs="ArialNarrow"/>
        </w:rPr>
        <w:t xml:space="preserve">and </w:t>
      </w:r>
      <w:r w:rsidR="001121A0">
        <w:rPr>
          <w:rFonts w:ascii="Calibri" w:hAnsi="Calibri" w:cs="ArialNarrow"/>
        </w:rPr>
        <w:t>increased over</w:t>
      </w:r>
      <w:r w:rsidR="002622EC">
        <w:rPr>
          <w:rFonts w:ascii="Calibri" w:hAnsi="Calibri" w:cs="ArialNarrow"/>
        </w:rPr>
        <w:t xml:space="preserve"> the </w:t>
      </w:r>
      <w:r w:rsidR="00DC3908">
        <w:rPr>
          <w:rFonts w:ascii="Calibri" w:hAnsi="Calibri" w:cs="ArialNarrow"/>
        </w:rPr>
        <w:t xml:space="preserve">same period of </w:t>
      </w:r>
      <w:r w:rsidR="00D865FD">
        <w:rPr>
          <w:rFonts w:ascii="Calibri" w:hAnsi="Calibri" w:cs="ArialNarrow"/>
        </w:rPr>
        <w:t>2021/22</w:t>
      </w:r>
      <w:r w:rsidR="00A3371A">
        <w:rPr>
          <w:rFonts w:ascii="Calibri" w:hAnsi="Calibri" w:cs="ArialNarrow"/>
        </w:rPr>
        <w:t xml:space="preserve"> </w:t>
      </w:r>
      <w:r w:rsidR="001121A0">
        <w:rPr>
          <w:rFonts w:ascii="Calibri" w:hAnsi="Calibri" w:cs="ArialNarrow"/>
        </w:rPr>
        <w:t>(92.45%).</w:t>
      </w:r>
      <w:r w:rsidR="009848F5">
        <w:rPr>
          <w:rFonts w:ascii="Calibri" w:hAnsi="Calibri" w:cs="ArialNarrow"/>
        </w:rPr>
        <w:t xml:space="preserve">  </w:t>
      </w:r>
      <w:r w:rsidR="00ED6671">
        <w:rPr>
          <w:rFonts w:ascii="Calibri" w:hAnsi="Calibri" w:cs="ArialNarrow"/>
        </w:rPr>
        <w:t xml:space="preserve">This is related to </w:t>
      </w:r>
      <w:r w:rsidR="001121A0">
        <w:rPr>
          <w:rFonts w:ascii="Calibri" w:hAnsi="Calibri" w:cs="ArialNarrow"/>
        </w:rPr>
        <w:t xml:space="preserve">the filling of </w:t>
      </w:r>
      <w:r w:rsidR="00315836">
        <w:rPr>
          <w:rFonts w:ascii="Calibri" w:hAnsi="Calibri" w:cs="ArialNarrow"/>
        </w:rPr>
        <w:t xml:space="preserve">held beds for </w:t>
      </w:r>
      <w:r w:rsidR="001121A0">
        <w:rPr>
          <w:rFonts w:ascii="Calibri" w:hAnsi="Calibri" w:cs="ArialNarrow"/>
        </w:rPr>
        <w:t>potential COVID outbreak isolation beds.</w:t>
      </w:r>
      <w:r w:rsidR="00ED6671">
        <w:rPr>
          <w:rFonts w:ascii="Calibri" w:hAnsi="Calibri" w:cs="ArialNarrow"/>
        </w:rPr>
        <w:t xml:space="preserve"> </w:t>
      </w:r>
    </w:p>
    <w:p w:rsidR="000501E8" w:rsidRDefault="000501E8" w:rsidP="00CF4AE4">
      <w:pPr>
        <w:rPr>
          <w:rFonts w:ascii="Calibri" w:hAnsi="Calibri" w:cs="ArialNarrow"/>
        </w:rPr>
      </w:pPr>
    </w:p>
    <w:p w:rsidR="00F048BA" w:rsidRDefault="00F048BA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The occupancy rate for the respite bed</w:t>
      </w:r>
      <w:r w:rsidR="009C5733">
        <w:rPr>
          <w:rFonts w:ascii="Calibri" w:hAnsi="Calibri" w:cs="ArialNarrow"/>
        </w:rPr>
        <w:t xml:space="preserve"> </w:t>
      </w:r>
      <w:r w:rsidR="003653F0">
        <w:rPr>
          <w:rFonts w:ascii="Calibri" w:hAnsi="Calibri" w:cs="ArialNarrow"/>
        </w:rPr>
        <w:t>is increasing as shown in T</w:t>
      </w:r>
      <w:r>
        <w:rPr>
          <w:rFonts w:ascii="Calibri" w:hAnsi="Calibri" w:cs="ArialNarrow"/>
        </w:rPr>
        <w:t>able 1.</w:t>
      </w:r>
      <w:r w:rsidR="00D94606">
        <w:rPr>
          <w:rFonts w:ascii="Calibri" w:hAnsi="Calibri" w:cs="ArialNarrow"/>
        </w:rPr>
        <w:t xml:space="preserve"> </w:t>
      </w:r>
      <w:r w:rsidR="002A3CF7">
        <w:rPr>
          <w:rFonts w:ascii="Calibri" w:hAnsi="Calibri" w:cs="ArialNarrow"/>
        </w:rPr>
        <w:t xml:space="preserve">This is due </w:t>
      </w:r>
      <w:r w:rsidR="006537D7">
        <w:rPr>
          <w:rFonts w:ascii="Calibri" w:hAnsi="Calibri" w:cs="ArialNarrow"/>
        </w:rPr>
        <w:t xml:space="preserve">resuming the community </w:t>
      </w:r>
      <w:r w:rsidR="002A3CF7">
        <w:rPr>
          <w:rFonts w:ascii="Calibri" w:hAnsi="Calibri" w:cs="ArialNarrow"/>
        </w:rPr>
        <w:t xml:space="preserve">respite </w:t>
      </w:r>
      <w:r w:rsidR="006537D7">
        <w:rPr>
          <w:rFonts w:ascii="Calibri" w:hAnsi="Calibri" w:cs="ArialNarrow"/>
        </w:rPr>
        <w:t>service.</w:t>
      </w:r>
    </w:p>
    <w:p w:rsidR="00F048BA" w:rsidRDefault="00F048BA" w:rsidP="00CF4AE4">
      <w:pPr>
        <w:rPr>
          <w:rFonts w:ascii="Calibri" w:hAnsi="Calibri" w:cs="ArialNarrow"/>
        </w:rPr>
      </w:pPr>
    </w:p>
    <w:p w:rsidR="00F048BA" w:rsidRPr="007A7E7D" w:rsidRDefault="007A7E7D" w:rsidP="008B5A9E">
      <w:pPr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 xml:space="preserve">Table 1 </w:t>
      </w:r>
      <w:r w:rsidR="008B5A9E">
        <w:rPr>
          <w:rFonts w:ascii="Calibri" w:hAnsi="Calibri" w:cs="ArialNarrow"/>
          <w:b/>
        </w:rPr>
        <w:t xml:space="preserve"> </w:t>
      </w: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>Respite Bed Occupancy</w:t>
      </w:r>
    </w:p>
    <w:tbl>
      <w:tblPr>
        <w:tblStyle w:val="TableGrid"/>
        <w:tblpPr w:leftFromText="180" w:rightFromText="180" w:vertAnchor="text" w:horzAnchor="page" w:tblpX="1152" w:tblpY="83"/>
        <w:tblW w:w="9659" w:type="dxa"/>
        <w:tblLook w:val="04A0" w:firstRow="1" w:lastRow="0" w:firstColumn="1" w:lastColumn="0" w:noHBand="0" w:noVBand="1"/>
      </w:tblPr>
      <w:tblGrid>
        <w:gridCol w:w="1203"/>
        <w:gridCol w:w="1208"/>
        <w:gridCol w:w="1208"/>
        <w:gridCol w:w="1208"/>
        <w:gridCol w:w="1208"/>
        <w:gridCol w:w="1208"/>
        <w:gridCol w:w="1208"/>
        <w:gridCol w:w="1208"/>
      </w:tblGrid>
      <w:tr w:rsidR="006537D7" w:rsidTr="006537D7">
        <w:trPr>
          <w:trHeight w:val="282"/>
        </w:trPr>
        <w:tc>
          <w:tcPr>
            <w:tcW w:w="1203" w:type="dxa"/>
          </w:tcPr>
          <w:p w:rsidR="003653F0" w:rsidRPr="007A7E7D" w:rsidRDefault="003653F0" w:rsidP="003653F0">
            <w:pPr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Month</w:t>
            </w:r>
          </w:p>
        </w:tc>
        <w:tc>
          <w:tcPr>
            <w:tcW w:w="120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2015/16</w:t>
            </w:r>
          </w:p>
        </w:tc>
        <w:tc>
          <w:tcPr>
            <w:tcW w:w="112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2016/17</w:t>
            </w:r>
          </w:p>
        </w:tc>
        <w:tc>
          <w:tcPr>
            <w:tcW w:w="128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2017/18</w:t>
            </w:r>
          </w:p>
        </w:tc>
        <w:tc>
          <w:tcPr>
            <w:tcW w:w="120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 2018/19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 xml:space="preserve">Occupancy  </w:t>
            </w:r>
          </w:p>
          <w:p w:rsidR="003653F0" w:rsidRDefault="00D865FD" w:rsidP="00B02B1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</w:t>
            </w:r>
            <w:r w:rsidR="00B02B1F">
              <w:rPr>
                <w:rFonts w:ascii="Calibri" w:hAnsi="Calibri" w:cs="ArialNarrow"/>
                <w:b/>
              </w:rPr>
              <w:t>19</w:t>
            </w:r>
            <w:r>
              <w:rPr>
                <w:rFonts w:ascii="Calibri" w:hAnsi="Calibri" w:cs="ArialNarrow"/>
                <w:b/>
              </w:rPr>
              <w:t>/2</w:t>
            </w:r>
            <w:r w:rsidR="00B02B1F">
              <w:rPr>
                <w:rFonts w:ascii="Calibri" w:hAnsi="Calibri" w:cs="ArialNarrow"/>
                <w:b/>
              </w:rPr>
              <w:t>0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2020-21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2021-22</w:t>
            </w:r>
          </w:p>
        </w:tc>
      </w:tr>
      <w:tr w:rsidR="006537D7" w:rsidTr="006537D7">
        <w:trPr>
          <w:trHeight w:val="287"/>
        </w:trPr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April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60.0%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43.3%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 w:rsidRPr="006F2C1A">
              <w:t>70.0%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  <w:lang w:val="en-CA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13.3%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48.4%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41.9%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12.9%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 w:rsidRPr="006F2C1A">
              <w:t>35.5%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June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23.3%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36.7%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</w:pPr>
            <w:r w:rsidRPr="006F2C1A">
              <w:t>80.0%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July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96.8%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61.3%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64.5%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August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96.8%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87.1%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51.6%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74.2%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September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20.0%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33.3%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93.3%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73.3%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66.7%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October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51.6%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41.9%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November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33.3%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33.3%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December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25.8%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61.3%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January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16.1%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35.5%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0.0%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February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31.0%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57.1%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25.0%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March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25.8%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19.4%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3653F0" w:rsidTr="006537D7">
        <w:tc>
          <w:tcPr>
            <w:tcW w:w="1203" w:type="dxa"/>
          </w:tcPr>
          <w:p w:rsidR="003653F0" w:rsidRPr="00575ED1" w:rsidRDefault="003653F0" w:rsidP="003653F0">
            <w:pPr>
              <w:rPr>
                <w:rFonts w:ascii="Calibri" w:hAnsi="Calibri" w:cs="ArialNarrow"/>
                <w:b/>
              </w:rPr>
            </w:pPr>
            <w:r w:rsidRPr="00575ED1">
              <w:rPr>
                <w:rFonts w:ascii="Calibri" w:hAnsi="Calibri" w:cs="ArialNarrow"/>
                <w:b/>
              </w:rPr>
              <w:t xml:space="preserve">Total </w:t>
            </w:r>
          </w:p>
        </w:tc>
        <w:tc>
          <w:tcPr>
            <w:tcW w:w="120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 w:rsidRPr="00575ED1">
              <w:rPr>
                <w:rFonts w:ascii="Calibri" w:hAnsi="Calibri" w:cs="ArialNarrow"/>
                <w:b/>
              </w:rPr>
              <w:t>39.1%</w:t>
            </w:r>
          </w:p>
        </w:tc>
        <w:tc>
          <w:tcPr>
            <w:tcW w:w="112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48%</w:t>
            </w:r>
          </w:p>
        </w:tc>
        <w:tc>
          <w:tcPr>
            <w:tcW w:w="128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62.3%</w:t>
            </w:r>
          </w:p>
        </w:tc>
        <w:tc>
          <w:tcPr>
            <w:tcW w:w="1208" w:type="dxa"/>
          </w:tcPr>
          <w:p w:rsidR="003653F0" w:rsidRPr="0087268C" w:rsidRDefault="003653F0" w:rsidP="003653F0">
            <w:pPr>
              <w:jc w:val="right"/>
              <w:rPr>
                <w:b/>
              </w:rPr>
            </w:pPr>
            <w:r w:rsidRPr="0087268C">
              <w:rPr>
                <w:b/>
              </w:rPr>
              <w:t>38.6%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47.4%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</w:t>
            </w:r>
            <w:r w:rsidR="00520FF0">
              <w:rPr>
                <w:rFonts w:ascii="Calibri" w:hAnsi="Calibri" w:cs="ArialNarrow"/>
                <w:b/>
              </w:rPr>
              <w:t>.1</w:t>
            </w:r>
            <w:r>
              <w:rPr>
                <w:rFonts w:ascii="Calibri" w:hAnsi="Calibri" w:cs="ArialNarrow"/>
                <w:b/>
              </w:rPr>
              <w:t>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40.5%</w:t>
            </w:r>
          </w:p>
        </w:tc>
      </w:tr>
    </w:tbl>
    <w:p w:rsidR="007C02F8" w:rsidRPr="00E539DC" w:rsidRDefault="007C02F8" w:rsidP="007C02F8">
      <w:pPr>
        <w:spacing w:after="200" w:line="276" w:lineRule="auto"/>
        <w:rPr>
          <w:rFonts w:cstheme="minorBidi"/>
          <w:b/>
          <w:sz w:val="24"/>
          <w:szCs w:val="22"/>
        </w:rPr>
      </w:pPr>
      <w:r>
        <w:rPr>
          <w:rFonts w:ascii="Calibri" w:hAnsi="Calibri" w:cs="ArialNarrow"/>
        </w:rPr>
        <w:br w:type="page"/>
      </w:r>
      <w:r w:rsidR="000D12E5" w:rsidRPr="00027301">
        <w:rPr>
          <w:rFonts w:ascii="Calibri" w:hAnsi="Calibri" w:cs="ArialNarrow"/>
          <w:b/>
          <w:sz w:val="24"/>
        </w:rPr>
        <w:t>2</w:t>
      </w:r>
      <w:r w:rsidRPr="00027301">
        <w:rPr>
          <w:rFonts w:cstheme="minorBidi"/>
          <w:b/>
          <w:sz w:val="24"/>
        </w:rPr>
        <w:t>.0</w:t>
      </w:r>
      <w:r>
        <w:rPr>
          <w:rFonts w:cstheme="minorBidi"/>
          <w:b/>
          <w:sz w:val="24"/>
          <w:szCs w:val="22"/>
        </w:rPr>
        <w:tab/>
        <w:t>Shoreham Village</w:t>
      </w:r>
      <w:r w:rsidRPr="00E539DC">
        <w:rPr>
          <w:rFonts w:cstheme="minorBidi"/>
          <w:b/>
          <w:sz w:val="24"/>
          <w:szCs w:val="22"/>
        </w:rPr>
        <w:t xml:space="preserve"> - Resident</w:t>
      </w:r>
      <w:r w:rsidRPr="00E539DC">
        <w:rPr>
          <w:rFonts w:cstheme="minorBidi"/>
          <w:b/>
          <w:bCs/>
          <w:i/>
          <w:iCs/>
          <w:sz w:val="24"/>
          <w:szCs w:val="22"/>
        </w:rPr>
        <w:t xml:space="preserve"> </w:t>
      </w:r>
      <w:r w:rsidRPr="00E539DC">
        <w:rPr>
          <w:rFonts w:cstheme="minorBidi"/>
          <w:b/>
          <w:sz w:val="24"/>
          <w:szCs w:val="22"/>
        </w:rPr>
        <w:t xml:space="preserve">Incidents – </w:t>
      </w:r>
      <w:r w:rsidR="0087268C">
        <w:rPr>
          <w:b/>
        </w:rPr>
        <w:t>Q</w:t>
      </w:r>
      <w:r w:rsidR="00F92E60">
        <w:rPr>
          <w:b/>
        </w:rPr>
        <w:t>2</w:t>
      </w:r>
      <w:r w:rsidR="0087268C">
        <w:rPr>
          <w:b/>
        </w:rPr>
        <w:t xml:space="preserve"> </w:t>
      </w:r>
      <w:r w:rsidR="00F92E60">
        <w:rPr>
          <w:b/>
        </w:rPr>
        <w:t xml:space="preserve">July </w:t>
      </w:r>
      <w:r w:rsidR="0087268C">
        <w:rPr>
          <w:b/>
        </w:rPr>
        <w:t xml:space="preserve">- </w:t>
      </w:r>
      <w:r w:rsidR="00F92E60">
        <w:rPr>
          <w:b/>
        </w:rPr>
        <w:t>Sept</w:t>
      </w:r>
      <w:r w:rsidR="00755211">
        <w:rPr>
          <w:b/>
        </w:rPr>
        <w:t xml:space="preserve"> 202</w:t>
      </w:r>
      <w:r w:rsidR="00D865FD">
        <w:rPr>
          <w:b/>
        </w:rPr>
        <w:t>1</w:t>
      </w:r>
      <w:r w:rsidR="0087268C">
        <w:rPr>
          <w:b/>
        </w:rPr>
        <w:t>/2</w:t>
      </w:r>
      <w:r w:rsidR="00D865FD">
        <w:rPr>
          <w:b/>
        </w:rPr>
        <w:t>2</w:t>
      </w:r>
    </w:p>
    <w:tbl>
      <w:tblPr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4271"/>
        <w:gridCol w:w="1135"/>
        <w:gridCol w:w="1187"/>
        <w:gridCol w:w="1159"/>
        <w:gridCol w:w="1080"/>
        <w:gridCol w:w="1243"/>
      </w:tblGrid>
      <w:tr w:rsidR="002A3CF7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F7" w:rsidRPr="00F05E23" w:rsidRDefault="002A3CF7" w:rsidP="002A3CF7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 # of Incidents Per Quarter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  <w:p w:rsidR="002A3CF7" w:rsidRPr="008E070D" w:rsidRDefault="00D865FD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B02B1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/2</w:t>
            </w:r>
            <w:r w:rsidR="00B02B1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2A3CF7" w:rsidRPr="008E070D" w:rsidRDefault="00D865FD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2A3CF7" w:rsidRPr="008E070D" w:rsidRDefault="00D865FD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2A3CF7" w:rsidRPr="008E070D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2A3CF7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8F0B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F0B5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716729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B02B1F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8F0B5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  <w:r w:rsidR="008F0B59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ind w:left="-3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02B1F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B02B1F" w:rsidRPr="00F05E23" w:rsidRDefault="00B02B1F" w:rsidP="00B02B1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Pr="008E070D" w:rsidRDefault="00B02B1F" w:rsidP="00B02B1F">
            <w:pPr>
              <w:ind w:left="-3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2B1F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B1F" w:rsidRPr="00F05E23" w:rsidRDefault="00B02B1F" w:rsidP="00B02B1F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Per 1000 Resident Days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1F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B02B1F" w:rsidRPr="008E070D" w:rsidRDefault="00B02B1F" w:rsidP="00B02B1F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B02B1F" w:rsidRPr="008E070D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8F0B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8F0B59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B1F" w:rsidRPr="0056156C" w:rsidRDefault="00B02B1F" w:rsidP="00B02B1F">
            <w:pPr>
              <w:spacing w:line="276" w:lineRule="auto"/>
              <w:rPr>
                <w:rFonts w:ascii="Calibri" w:hAnsi="Calibri"/>
                <w:color w:val="000000"/>
                <w:sz w:val="4"/>
                <w:szCs w:val="4"/>
              </w:rPr>
            </w:pPr>
          </w:p>
          <w:p w:rsidR="00B02B1F" w:rsidRPr="00F05E23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56156C" w:rsidRDefault="00B02B1F" w:rsidP="00B02B1F">
            <w:pPr>
              <w:spacing w:line="276" w:lineRule="auto"/>
              <w:rPr>
                <w:rFonts w:ascii="Calibri" w:hAnsi="Calibri"/>
                <w:color w:val="000000"/>
                <w:sz w:val="8"/>
                <w:szCs w:val="8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F05E23" w:rsidTr="002A3CF7">
        <w:trPr>
          <w:trHeight w:val="7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540195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540195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spacing w:line="276" w:lineRule="auto"/>
              <w:ind w:right="-18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2" w:rsidRPr="00716729" w:rsidRDefault="00D058F2" w:rsidP="008F0B5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F0B59">
              <w:rPr>
                <w:rFonts w:ascii="Calibri" w:hAnsi="Calibri"/>
                <w:b/>
                <w:bCs/>
                <w:color w:val="000000"/>
              </w:rPr>
              <w:t>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7C02F8" w:rsidRDefault="007C02F8" w:rsidP="007C02F8">
      <w:pPr>
        <w:spacing w:line="276" w:lineRule="auto"/>
      </w:pPr>
    </w:p>
    <w:p w:rsidR="00CF1910" w:rsidRDefault="00CF1910" w:rsidP="007C02F8">
      <w:pPr>
        <w:spacing w:line="276" w:lineRule="auto"/>
      </w:pPr>
    </w:p>
    <w:p w:rsidR="00CF1910" w:rsidRDefault="00CF1910" w:rsidP="007C02F8">
      <w:pPr>
        <w:spacing w:line="276" w:lineRule="auto"/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  <w:r w:rsidRPr="0038381D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>
            <wp:extent cx="6335395" cy="3827417"/>
            <wp:effectExtent l="0" t="0" r="8255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  <w:r w:rsidRPr="006A52C1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>
            <wp:extent cx="6126480" cy="3688080"/>
            <wp:effectExtent l="0" t="0" r="762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331B" w:rsidRDefault="0082331B" w:rsidP="007C02F8">
      <w:pPr>
        <w:rPr>
          <w:rFonts w:ascii="Calibri" w:hAnsi="Calibri" w:cs="ArialNarrow"/>
          <w:b/>
          <w:sz w:val="24"/>
        </w:rPr>
      </w:pPr>
    </w:p>
    <w:p w:rsidR="001206C5" w:rsidRDefault="001206C5" w:rsidP="007C02F8">
      <w:pPr>
        <w:rPr>
          <w:rFonts w:ascii="Calibri" w:hAnsi="Calibri" w:cs="ArialNarrow"/>
          <w:b/>
          <w:szCs w:val="22"/>
        </w:rPr>
      </w:pPr>
    </w:p>
    <w:p w:rsidR="006033F1" w:rsidRDefault="007C02F8" w:rsidP="00511E80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Comments:</w:t>
      </w:r>
      <w:r w:rsidR="006033F1">
        <w:rPr>
          <w:rFonts w:ascii="Calibri" w:hAnsi="Calibri" w:cs="ArialNarrow"/>
          <w:b/>
          <w:szCs w:val="22"/>
        </w:rPr>
        <w:t xml:space="preserve"> </w:t>
      </w:r>
    </w:p>
    <w:p w:rsidR="00511E80" w:rsidRPr="002958B0" w:rsidRDefault="00511E80" w:rsidP="00511E80">
      <w:pPr>
        <w:rPr>
          <w:rFonts w:ascii="Calibri" w:hAnsi="Calibri" w:cs="ArialNarrow"/>
          <w:b/>
          <w:sz w:val="16"/>
          <w:szCs w:val="16"/>
        </w:rPr>
      </w:pPr>
    </w:p>
    <w:p w:rsidR="007C02F8" w:rsidRDefault="007C02F8" w:rsidP="007C02F8">
      <w:pPr>
        <w:rPr>
          <w:rFonts w:ascii="Calibri" w:hAnsi="Calibri" w:cs="ArialNarrow"/>
          <w:szCs w:val="22"/>
        </w:rPr>
      </w:pPr>
      <w:r w:rsidRPr="009400B4">
        <w:rPr>
          <w:rFonts w:ascii="Calibri" w:hAnsi="Calibri" w:cs="ArialNarrow"/>
          <w:szCs w:val="22"/>
        </w:rPr>
        <w:t xml:space="preserve">The number and rate of incidents have </w:t>
      </w:r>
      <w:r w:rsidR="008E11E7">
        <w:rPr>
          <w:rFonts w:ascii="Calibri" w:hAnsi="Calibri" w:cs="ArialNarrow"/>
          <w:szCs w:val="22"/>
        </w:rPr>
        <w:t>in</w:t>
      </w:r>
      <w:r w:rsidR="008E6C0F">
        <w:rPr>
          <w:rFonts w:ascii="Calibri" w:hAnsi="Calibri" w:cs="ArialNarrow"/>
          <w:szCs w:val="22"/>
        </w:rPr>
        <w:t xml:space="preserve">creased </w:t>
      </w:r>
      <w:r w:rsidR="0094473E">
        <w:rPr>
          <w:rFonts w:ascii="Calibri" w:hAnsi="Calibri" w:cs="ArialNarrow"/>
          <w:szCs w:val="22"/>
        </w:rPr>
        <w:t xml:space="preserve">over the last quarter </w:t>
      </w:r>
      <w:r w:rsidR="00BA5693">
        <w:rPr>
          <w:rFonts w:ascii="Calibri" w:hAnsi="Calibri" w:cs="ArialNarrow"/>
          <w:szCs w:val="22"/>
        </w:rPr>
        <w:t>(1</w:t>
      </w:r>
      <w:r w:rsidR="008E11E7">
        <w:rPr>
          <w:rFonts w:ascii="Calibri" w:hAnsi="Calibri" w:cs="ArialNarrow"/>
          <w:szCs w:val="22"/>
        </w:rPr>
        <w:t>18</w:t>
      </w:r>
      <w:r w:rsidR="00511E80">
        <w:rPr>
          <w:rFonts w:ascii="Calibri" w:hAnsi="Calibri" w:cs="ArialNarrow"/>
          <w:szCs w:val="22"/>
        </w:rPr>
        <w:t xml:space="preserve">) </w:t>
      </w:r>
      <w:r w:rsidR="008E11E7">
        <w:rPr>
          <w:rFonts w:ascii="Calibri" w:hAnsi="Calibri" w:cs="ArialNarrow"/>
          <w:szCs w:val="22"/>
        </w:rPr>
        <w:t>and</w:t>
      </w:r>
      <w:r w:rsidR="0094473E">
        <w:rPr>
          <w:rFonts w:ascii="Calibri" w:hAnsi="Calibri" w:cs="ArialNarrow"/>
          <w:szCs w:val="22"/>
        </w:rPr>
        <w:t xml:space="preserve"> over the same period of last year</w:t>
      </w:r>
      <w:r w:rsidR="008E11E7">
        <w:rPr>
          <w:rFonts w:ascii="Calibri" w:hAnsi="Calibri" w:cs="ArialNarrow"/>
          <w:szCs w:val="22"/>
        </w:rPr>
        <w:t xml:space="preserve"> (11</w:t>
      </w:r>
      <w:r w:rsidR="00F309AC">
        <w:rPr>
          <w:rFonts w:ascii="Calibri" w:hAnsi="Calibri" w:cs="ArialNarrow"/>
          <w:szCs w:val="22"/>
        </w:rPr>
        <w:t>9</w:t>
      </w:r>
      <w:r w:rsidR="00511E80">
        <w:rPr>
          <w:rFonts w:ascii="Calibri" w:hAnsi="Calibri" w:cs="ArialNarrow"/>
          <w:szCs w:val="22"/>
        </w:rPr>
        <w:t>)</w:t>
      </w:r>
      <w:r w:rsidR="0094473E">
        <w:rPr>
          <w:rFonts w:ascii="Calibri" w:hAnsi="Calibri" w:cs="ArialNarrow"/>
          <w:szCs w:val="22"/>
        </w:rPr>
        <w:t xml:space="preserve">.  </w:t>
      </w:r>
      <w:r w:rsidR="00006395">
        <w:rPr>
          <w:rFonts w:ascii="Calibri" w:hAnsi="Calibri" w:cs="ArialNarrow"/>
          <w:szCs w:val="22"/>
        </w:rPr>
        <w:t>Th</w:t>
      </w:r>
      <w:r w:rsidR="00A9520E">
        <w:rPr>
          <w:rFonts w:ascii="Calibri" w:hAnsi="Calibri" w:cs="ArialNarrow"/>
          <w:szCs w:val="22"/>
        </w:rPr>
        <w:t>e number of incidents per wing were</w:t>
      </w:r>
      <w:r w:rsidR="008E6C0F">
        <w:rPr>
          <w:rFonts w:ascii="Calibri" w:hAnsi="Calibri" w:cs="ArialNarrow"/>
          <w:szCs w:val="22"/>
        </w:rPr>
        <w:t xml:space="preserve">: A – </w:t>
      </w:r>
      <w:r w:rsidR="008E11E7">
        <w:rPr>
          <w:rFonts w:ascii="Calibri" w:hAnsi="Calibri" w:cs="ArialNarrow"/>
          <w:szCs w:val="22"/>
        </w:rPr>
        <w:t>3</w:t>
      </w:r>
      <w:r w:rsidR="008F0B59">
        <w:rPr>
          <w:rFonts w:ascii="Calibri" w:hAnsi="Calibri" w:cs="ArialNarrow"/>
          <w:szCs w:val="22"/>
        </w:rPr>
        <w:t>1</w:t>
      </w:r>
      <w:r w:rsidR="00006395">
        <w:rPr>
          <w:rFonts w:ascii="Calibri" w:hAnsi="Calibri" w:cs="ArialNarrow"/>
          <w:szCs w:val="22"/>
        </w:rPr>
        <w:t xml:space="preserve">, </w:t>
      </w:r>
      <w:r w:rsidR="006C58F8">
        <w:rPr>
          <w:rFonts w:ascii="Calibri" w:hAnsi="Calibri" w:cs="ArialNarrow"/>
          <w:szCs w:val="22"/>
        </w:rPr>
        <w:t>B</w:t>
      </w:r>
      <w:r w:rsidR="008E6C0F">
        <w:rPr>
          <w:rFonts w:ascii="Calibri" w:hAnsi="Calibri" w:cs="ArialNarrow"/>
          <w:szCs w:val="22"/>
        </w:rPr>
        <w:t xml:space="preserve"> – </w:t>
      </w:r>
      <w:r w:rsidR="008E11E7">
        <w:rPr>
          <w:rFonts w:ascii="Calibri" w:hAnsi="Calibri" w:cs="ArialNarrow"/>
          <w:szCs w:val="22"/>
        </w:rPr>
        <w:t>40</w:t>
      </w:r>
      <w:r w:rsidR="008E6C0F">
        <w:rPr>
          <w:rFonts w:ascii="Calibri" w:hAnsi="Calibri" w:cs="ArialNarrow"/>
          <w:szCs w:val="22"/>
        </w:rPr>
        <w:t xml:space="preserve">, C – </w:t>
      </w:r>
      <w:r w:rsidR="008E11E7">
        <w:rPr>
          <w:rFonts w:ascii="Calibri" w:hAnsi="Calibri" w:cs="ArialNarrow"/>
          <w:szCs w:val="22"/>
        </w:rPr>
        <w:t>25</w:t>
      </w:r>
      <w:r w:rsidR="008E6C0F">
        <w:rPr>
          <w:rFonts w:ascii="Calibri" w:hAnsi="Calibri" w:cs="ArialNarrow"/>
          <w:szCs w:val="22"/>
        </w:rPr>
        <w:t>, D – 1</w:t>
      </w:r>
      <w:r w:rsidR="008E11E7">
        <w:rPr>
          <w:rFonts w:ascii="Calibri" w:hAnsi="Calibri" w:cs="ArialNarrow"/>
          <w:szCs w:val="22"/>
        </w:rPr>
        <w:t>9</w:t>
      </w:r>
      <w:r w:rsidR="00511E80">
        <w:rPr>
          <w:rFonts w:ascii="Calibri" w:hAnsi="Calibri" w:cs="ArialNarrow"/>
          <w:szCs w:val="22"/>
        </w:rPr>
        <w:t xml:space="preserve"> </w:t>
      </w:r>
      <w:r w:rsidR="00006395">
        <w:rPr>
          <w:rFonts w:ascii="Calibri" w:hAnsi="Calibri" w:cs="ArialNarrow"/>
          <w:szCs w:val="22"/>
        </w:rPr>
        <w:t>and E</w:t>
      </w:r>
      <w:r w:rsidR="00BA5693">
        <w:rPr>
          <w:rFonts w:ascii="Calibri" w:hAnsi="Calibri" w:cs="ArialNarrow"/>
          <w:szCs w:val="22"/>
        </w:rPr>
        <w:t xml:space="preserve"> –</w:t>
      </w:r>
      <w:r w:rsidR="008E11E7">
        <w:rPr>
          <w:rFonts w:ascii="Calibri" w:hAnsi="Calibri" w:cs="ArialNarrow"/>
          <w:szCs w:val="22"/>
        </w:rPr>
        <w:t xml:space="preserve"> 3</w:t>
      </w:r>
      <w:r w:rsidR="008F0B59">
        <w:rPr>
          <w:rFonts w:ascii="Calibri" w:hAnsi="Calibri" w:cs="ArialNarrow"/>
          <w:szCs w:val="22"/>
        </w:rPr>
        <w:t>0</w:t>
      </w:r>
      <w:r w:rsidR="00006395">
        <w:rPr>
          <w:rFonts w:ascii="Calibri" w:hAnsi="Calibri" w:cs="ArialNarrow"/>
          <w:szCs w:val="22"/>
        </w:rPr>
        <w:t>.</w:t>
      </w:r>
      <w:r w:rsidR="00AC3FFF">
        <w:rPr>
          <w:rFonts w:ascii="Calibri" w:hAnsi="Calibri" w:cs="ArialNarrow"/>
          <w:szCs w:val="22"/>
        </w:rPr>
        <w:t xml:space="preserve">  </w:t>
      </w:r>
    </w:p>
    <w:p w:rsidR="004F5DBC" w:rsidRDefault="004F5DBC" w:rsidP="007C02F8">
      <w:pPr>
        <w:rPr>
          <w:rFonts w:ascii="Calibri" w:hAnsi="Calibri" w:cs="ArialNarrow"/>
          <w:szCs w:val="22"/>
        </w:rPr>
      </w:pPr>
    </w:p>
    <w:p w:rsidR="00947E0D" w:rsidRPr="00947E0D" w:rsidRDefault="00947E0D" w:rsidP="00947E0D">
      <w:pPr>
        <w:pStyle w:val="ListParagraph"/>
        <w:numPr>
          <w:ilvl w:val="0"/>
          <w:numId w:val="7"/>
        </w:numPr>
        <w:rPr>
          <w:rFonts w:ascii="Calibri" w:hAnsi="Calibri" w:cs="ArialNarrow"/>
          <w:szCs w:val="22"/>
        </w:rPr>
      </w:pPr>
      <w:r w:rsidRPr="00947E0D">
        <w:rPr>
          <w:rFonts w:ascii="Calibri" w:hAnsi="Calibri" w:cs="ArialNarrow"/>
          <w:szCs w:val="22"/>
        </w:rPr>
        <w:t>Of the 14</w:t>
      </w:r>
      <w:r w:rsidR="008F0B59">
        <w:rPr>
          <w:rFonts w:ascii="Calibri" w:hAnsi="Calibri" w:cs="ArialNarrow"/>
          <w:szCs w:val="22"/>
        </w:rPr>
        <w:t>5</w:t>
      </w:r>
      <w:r w:rsidRPr="00947E0D">
        <w:rPr>
          <w:rFonts w:ascii="Calibri" w:hAnsi="Calibri" w:cs="ArialNarrow"/>
          <w:szCs w:val="22"/>
        </w:rPr>
        <w:t xml:space="preserve"> incidents </w:t>
      </w:r>
      <w:r w:rsidR="008F0B59">
        <w:rPr>
          <w:rFonts w:ascii="Calibri" w:hAnsi="Calibri" w:cs="ArialNarrow"/>
          <w:szCs w:val="22"/>
        </w:rPr>
        <w:t>10</w:t>
      </w:r>
      <w:r w:rsidRPr="00947E0D">
        <w:rPr>
          <w:rFonts w:ascii="Calibri" w:hAnsi="Calibri" w:cs="ArialNarrow"/>
          <w:szCs w:val="22"/>
        </w:rPr>
        <w:t>% were near misses.</w:t>
      </w:r>
    </w:p>
    <w:p w:rsidR="00987258" w:rsidRDefault="00947E0D" w:rsidP="00947E0D">
      <w:pPr>
        <w:pStyle w:val="ListParagraph"/>
        <w:numPr>
          <w:ilvl w:val="0"/>
          <w:numId w:val="7"/>
        </w:numPr>
        <w:rPr>
          <w:rFonts w:ascii="Calibri" w:hAnsi="Calibri" w:cs="ArialNarrow"/>
          <w:szCs w:val="22"/>
        </w:rPr>
      </w:pPr>
      <w:r w:rsidRPr="00947E0D">
        <w:rPr>
          <w:rFonts w:ascii="Calibri" w:hAnsi="Calibri" w:cs="ArialNarrow"/>
          <w:szCs w:val="22"/>
        </w:rPr>
        <w:t xml:space="preserve">14 </w:t>
      </w:r>
      <w:r w:rsidR="00987258" w:rsidRPr="00947E0D">
        <w:rPr>
          <w:rFonts w:ascii="Calibri" w:hAnsi="Calibri" w:cs="ArialNarrow"/>
          <w:szCs w:val="22"/>
        </w:rPr>
        <w:t xml:space="preserve">residents had </w:t>
      </w:r>
      <w:r w:rsidRPr="00947E0D">
        <w:rPr>
          <w:rFonts w:ascii="Calibri" w:hAnsi="Calibri" w:cs="ArialNarrow"/>
          <w:szCs w:val="22"/>
        </w:rPr>
        <w:t xml:space="preserve">3 or more </w:t>
      </w:r>
      <w:r w:rsidR="00987258" w:rsidRPr="00947E0D">
        <w:rPr>
          <w:rFonts w:ascii="Calibri" w:hAnsi="Calibri" w:cs="ArialNarrow"/>
          <w:szCs w:val="22"/>
        </w:rPr>
        <w:t xml:space="preserve">incidents </w:t>
      </w:r>
      <w:r w:rsidR="00511E80" w:rsidRPr="00947E0D">
        <w:rPr>
          <w:rFonts w:ascii="Calibri" w:hAnsi="Calibri" w:cs="ArialNarrow"/>
          <w:szCs w:val="22"/>
        </w:rPr>
        <w:t>th</w:t>
      </w:r>
      <w:r w:rsidR="004175E1" w:rsidRPr="00947E0D">
        <w:rPr>
          <w:rFonts w:ascii="Calibri" w:hAnsi="Calibri" w:cs="ArialNarrow"/>
          <w:szCs w:val="22"/>
        </w:rPr>
        <w:t xml:space="preserve">is quarter. </w:t>
      </w:r>
      <w:r>
        <w:rPr>
          <w:rFonts w:ascii="Calibri" w:hAnsi="Calibri" w:cs="ArialNarrow"/>
          <w:szCs w:val="22"/>
        </w:rPr>
        <w:t xml:space="preserve"> 2 Residents accounted for 1</w:t>
      </w:r>
      <w:r w:rsidR="008F0B59">
        <w:rPr>
          <w:rFonts w:ascii="Calibri" w:hAnsi="Calibri" w:cs="ArialNarrow"/>
          <w:szCs w:val="22"/>
        </w:rPr>
        <w:t>5</w:t>
      </w:r>
      <w:r>
        <w:rPr>
          <w:rFonts w:ascii="Calibri" w:hAnsi="Calibri" w:cs="ArialNarrow"/>
          <w:szCs w:val="22"/>
        </w:rPr>
        <w:t xml:space="preserve"> incidents (1</w:t>
      </w:r>
      <w:r w:rsidR="008F0B59">
        <w:rPr>
          <w:rFonts w:ascii="Calibri" w:hAnsi="Calibri" w:cs="ArialNarrow"/>
          <w:szCs w:val="22"/>
        </w:rPr>
        <w:t>0</w:t>
      </w:r>
      <w:r>
        <w:rPr>
          <w:rFonts w:ascii="Calibri" w:hAnsi="Calibri" w:cs="ArialNarrow"/>
          <w:szCs w:val="22"/>
        </w:rPr>
        <w:t>%).</w:t>
      </w:r>
    </w:p>
    <w:p w:rsidR="00947E0D" w:rsidRPr="00947E0D" w:rsidRDefault="00947E0D" w:rsidP="00947E0D">
      <w:pPr>
        <w:rPr>
          <w:rFonts w:ascii="Calibri" w:hAnsi="Calibri" w:cs="ArialNarrow"/>
          <w:szCs w:val="22"/>
        </w:rPr>
      </w:pPr>
    </w:p>
    <w:p w:rsidR="0094473E" w:rsidRPr="009400B4" w:rsidRDefault="0094473E" w:rsidP="007C02F8">
      <w:pPr>
        <w:rPr>
          <w:rFonts w:ascii="Calibri" w:hAnsi="Calibri" w:cs="ArialNarrow"/>
          <w:szCs w:val="22"/>
        </w:rPr>
      </w:pPr>
    </w:p>
    <w:p w:rsidR="007C02F8" w:rsidRPr="00D14085" w:rsidRDefault="007C02F8" w:rsidP="007C02F8">
      <w:pPr>
        <w:rPr>
          <w:rFonts w:ascii="Calibri" w:hAnsi="Calibri" w:cs="ArialNarrow"/>
          <w:b/>
          <w:i/>
          <w:szCs w:val="22"/>
          <w:u w:val="single"/>
        </w:rPr>
      </w:pPr>
      <w:r w:rsidRPr="009400B4">
        <w:rPr>
          <w:rFonts w:ascii="Calibri" w:hAnsi="Calibri" w:cs="ArialNarrow"/>
          <w:b/>
          <w:szCs w:val="22"/>
        </w:rPr>
        <w:t>Responsive Behav</w:t>
      </w:r>
      <w:r w:rsidR="0094473E">
        <w:rPr>
          <w:rFonts w:ascii="Calibri" w:hAnsi="Calibri" w:cs="ArialNarrow"/>
          <w:b/>
          <w:szCs w:val="22"/>
        </w:rPr>
        <w:t>io</w:t>
      </w:r>
      <w:r w:rsidRPr="009400B4">
        <w:rPr>
          <w:rFonts w:ascii="Calibri" w:hAnsi="Calibri" w:cs="ArialNarrow"/>
          <w:b/>
          <w:szCs w:val="22"/>
        </w:rPr>
        <w:t>rs</w:t>
      </w:r>
      <w:r w:rsidR="00D14085">
        <w:rPr>
          <w:rFonts w:ascii="Calibri" w:hAnsi="Calibri" w:cs="ArialNarrow"/>
          <w:b/>
          <w:szCs w:val="22"/>
        </w:rPr>
        <w:t xml:space="preserve"> </w:t>
      </w:r>
    </w:p>
    <w:p w:rsidR="006C58F8" w:rsidRDefault="007C02F8" w:rsidP="006C58F8">
      <w:pPr>
        <w:rPr>
          <w:rFonts w:ascii="Calibri" w:hAnsi="Calibri" w:cs="ArialNarrow"/>
          <w:szCs w:val="22"/>
        </w:rPr>
      </w:pPr>
      <w:r w:rsidRPr="009400B4">
        <w:rPr>
          <w:rFonts w:ascii="Calibri" w:hAnsi="Calibri" w:cs="ArialNarrow"/>
          <w:szCs w:val="22"/>
        </w:rPr>
        <w:t xml:space="preserve">Of the </w:t>
      </w:r>
      <w:r w:rsidR="00B604E4">
        <w:rPr>
          <w:rFonts w:ascii="Calibri" w:hAnsi="Calibri" w:cs="ArialNarrow"/>
          <w:szCs w:val="22"/>
        </w:rPr>
        <w:t>25</w:t>
      </w:r>
      <w:r w:rsidR="00ED0395">
        <w:rPr>
          <w:rFonts w:ascii="Calibri" w:hAnsi="Calibri" w:cs="ArialNarrow"/>
          <w:szCs w:val="22"/>
        </w:rPr>
        <w:t xml:space="preserve"> </w:t>
      </w:r>
      <w:r w:rsidRPr="009400B4">
        <w:rPr>
          <w:rFonts w:ascii="Calibri" w:hAnsi="Calibri" w:cs="ArialNarrow"/>
          <w:szCs w:val="22"/>
        </w:rPr>
        <w:t>incidents,</w:t>
      </w:r>
      <w:r w:rsidR="00D14085">
        <w:rPr>
          <w:rFonts w:ascii="Calibri" w:hAnsi="Calibri" w:cs="ArialNarrow"/>
          <w:szCs w:val="22"/>
        </w:rPr>
        <w:t xml:space="preserve"> one resident </w:t>
      </w:r>
      <w:r w:rsidRPr="009400B4">
        <w:rPr>
          <w:rFonts w:ascii="Calibri" w:hAnsi="Calibri" w:cs="ArialNarrow"/>
          <w:szCs w:val="22"/>
        </w:rPr>
        <w:t>account</w:t>
      </w:r>
      <w:r w:rsidR="009834D6">
        <w:rPr>
          <w:rFonts w:ascii="Calibri" w:hAnsi="Calibri" w:cs="ArialNarrow"/>
          <w:szCs w:val="22"/>
        </w:rPr>
        <w:t>ed</w:t>
      </w:r>
      <w:r w:rsidRPr="009400B4">
        <w:rPr>
          <w:rFonts w:ascii="Calibri" w:hAnsi="Calibri" w:cs="ArialNarrow"/>
          <w:szCs w:val="22"/>
        </w:rPr>
        <w:t xml:space="preserve"> for </w:t>
      </w:r>
      <w:r w:rsidR="00B604E4">
        <w:rPr>
          <w:rFonts w:ascii="Calibri" w:hAnsi="Calibri" w:cs="ArialNarrow"/>
          <w:szCs w:val="22"/>
        </w:rPr>
        <w:t>20</w:t>
      </w:r>
      <w:r w:rsidR="00735F15">
        <w:rPr>
          <w:rFonts w:ascii="Calibri" w:hAnsi="Calibri" w:cs="ArialNarrow"/>
          <w:szCs w:val="22"/>
        </w:rPr>
        <w:t>%</w:t>
      </w:r>
      <w:r w:rsidR="00B604E4">
        <w:rPr>
          <w:rFonts w:ascii="Calibri" w:hAnsi="Calibri" w:cs="ArialNarrow"/>
          <w:szCs w:val="22"/>
        </w:rPr>
        <w:t xml:space="preserve"> of the incidents</w:t>
      </w:r>
      <w:r w:rsidR="009834D6">
        <w:rPr>
          <w:rFonts w:ascii="Calibri" w:hAnsi="Calibri" w:cs="ArialNarrow"/>
          <w:szCs w:val="22"/>
        </w:rPr>
        <w:t xml:space="preserve">. </w:t>
      </w:r>
      <w:r w:rsidR="006C58F8">
        <w:rPr>
          <w:rFonts w:ascii="Calibri" w:hAnsi="Calibri" w:cs="ArialNarrow"/>
          <w:szCs w:val="22"/>
        </w:rPr>
        <w:t xml:space="preserve"> The number of incident</w:t>
      </w:r>
      <w:r w:rsidR="00D14085">
        <w:rPr>
          <w:rFonts w:ascii="Calibri" w:hAnsi="Calibri" w:cs="ArialNarrow"/>
          <w:szCs w:val="22"/>
        </w:rPr>
        <w:t xml:space="preserve">s per wing: A – </w:t>
      </w:r>
      <w:r w:rsidR="008F0B59">
        <w:rPr>
          <w:rFonts w:ascii="Calibri" w:hAnsi="Calibri" w:cs="ArialNarrow"/>
          <w:szCs w:val="22"/>
        </w:rPr>
        <w:t>1</w:t>
      </w:r>
      <w:r w:rsidR="00F309AC">
        <w:rPr>
          <w:rFonts w:ascii="Calibri" w:hAnsi="Calibri" w:cs="ArialNarrow"/>
          <w:szCs w:val="22"/>
        </w:rPr>
        <w:t xml:space="preserve">, B – </w:t>
      </w:r>
      <w:r w:rsidR="0028577C">
        <w:rPr>
          <w:rFonts w:ascii="Calibri" w:hAnsi="Calibri" w:cs="ArialNarrow"/>
          <w:szCs w:val="22"/>
        </w:rPr>
        <w:t>7</w:t>
      </w:r>
      <w:r w:rsidR="00B604E4">
        <w:rPr>
          <w:rFonts w:ascii="Calibri" w:hAnsi="Calibri" w:cs="ArialNarrow"/>
          <w:szCs w:val="22"/>
        </w:rPr>
        <w:t xml:space="preserve">, C – </w:t>
      </w:r>
      <w:r w:rsidR="008F0B59">
        <w:rPr>
          <w:rFonts w:ascii="Calibri" w:hAnsi="Calibri" w:cs="ArialNarrow"/>
          <w:szCs w:val="22"/>
        </w:rPr>
        <w:t>4</w:t>
      </w:r>
      <w:r w:rsidR="00D14085">
        <w:rPr>
          <w:rFonts w:ascii="Calibri" w:hAnsi="Calibri" w:cs="ArialNarrow"/>
          <w:szCs w:val="22"/>
        </w:rPr>
        <w:t xml:space="preserve">, D – </w:t>
      </w:r>
      <w:r w:rsidR="00B604E4">
        <w:rPr>
          <w:rFonts w:ascii="Calibri" w:hAnsi="Calibri" w:cs="ArialNarrow"/>
          <w:szCs w:val="22"/>
        </w:rPr>
        <w:t>0</w:t>
      </w:r>
      <w:r w:rsidR="006C58F8">
        <w:rPr>
          <w:rFonts w:ascii="Calibri" w:hAnsi="Calibri" w:cs="ArialNarrow"/>
          <w:szCs w:val="22"/>
        </w:rPr>
        <w:t xml:space="preserve"> and E – </w:t>
      </w:r>
      <w:r w:rsidR="008F0B59">
        <w:rPr>
          <w:rFonts w:ascii="Calibri" w:hAnsi="Calibri" w:cs="ArialNarrow"/>
          <w:szCs w:val="22"/>
        </w:rPr>
        <w:t>4</w:t>
      </w:r>
      <w:r w:rsidR="00D14085">
        <w:rPr>
          <w:rFonts w:ascii="Calibri" w:hAnsi="Calibri" w:cs="ArialNarrow"/>
          <w:szCs w:val="22"/>
        </w:rPr>
        <w:t xml:space="preserve">.  </w:t>
      </w:r>
      <w:r w:rsidR="006C58F8">
        <w:rPr>
          <w:rFonts w:ascii="Calibri" w:hAnsi="Calibri" w:cs="ArialNarrow"/>
          <w:szCs w:val="22"/>
        </w:rPr>
        <w:t xml:space="preserve"> </w:t>
      </w:r>
    </w:p>
    <w:p w:rsidR="006C58F8" w:rsidRDefault="006C58F8" w:rsidP="007C02F8">
      <w:pPr>
        <w:rPr>
          <w:rFonts w:ascii="Calibri" w:hAnsi="Calibri" w:cs="ArialNarrow"/>
          <w:szCs w:val="22"/>
        </w:rPr>
      </w:pPr>
    </w:p>
    <w:p w:rsidR="007C02F8" w:rsidRDefault="00D14085" w:rsidP="007C02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There were </w:t>
      </w:r>
      <w:r w:rsidR="0028577C">
        <w:rPr>
          <w:rFonts w:ascii="Calibri" w:hAnsi="Calibri" w:cs="ArialNarrow"/>
          <w:szCs w:val="22"/>
        </w:rPr>
        <w:t>12</w:t>
      </w:r>
      <w:r w:rsidR="00B604E4">
        <w:rPr>
          <w:rFonts w:ascii="Calibri" w:hAnsi="Calibri" w:cs="ArialNarrow"/>
          <w:szCs w:val="22"/>
        </w:rPr>
        <w:t xml:space="preserve"> </w:t>
      </w:r>
      <w:r w:rsidR="009834D6">
        <w:rPr>
          <w:rFonts w:ascii="Calibri" w:hAnsi="Calibri" w:cs="ArialNarrow"/>
          <w:szCs w:val="22"/>
        </w:rPr>
        <w:t>e</w:t>
      </w:r>
      <w:r w:rsidR="00B604E4">
        <w:rPr>
          <w:rFonts w:ascii="Calibri" w:hAnsi="Calibri" w:cs="ArialNarrow"/>
          <w:szCs w:val="22"/>
        </w:rPr>
        <w:t xml:space="preserve">pisodes of physical aggression and </w:t>
      </w:r>
      <w:r w:rsidR="0028577C">
        <w:rPr>
          <w:rFonts w:ascii="Calibri" w:hAnsi="Calibri" w:cs="ArialNarrow"/>
          <w:szCs w:val="22"/>
        </w:rPr>
        <w:t>4</w:t>
      </w:r>
      <w:r w:rsidR="00B604E4">
        <w:rPr>
          <w:rFonts w:ascii="Calibri" w:hAnsi="Calibri" w:cs="ArialNarrow"/>
          <w:szCs w:val="22"/>
        </w:rPr>
        <w:t xml:space="preserve"> incidents of verbal aggression. </w:t>
      </w:r>
      <w:r w:rsidR="0028577C">
        <w:rPr>
          <w:rFonts w:ascii="Calibri" w:hAnsi="Calibri" w:cs="ArialNarrow"/>
          <w:szCs w:val="22"/>
        </w:rPr>
        <w:t>One incident resulted in an injury (bruise) to a resident.</w:t>
      </w:r>
    </w:p>
    <w:p w:rsidR="00483D2E" w:rsidRDefault="00483D2E" w:rsidP="007C02F8">
      <w:pPr>
        <w:rPr>
          <w:rFonts w:ascii="Calibri" w:hAnsi="Calibri" w:cs="ArialNarrow"/>
          <w:szCs w:val="22"/>
        </w:rPr>
      </w:pPr>
    </w:p>
    <w:p w:rsidR="00483D2E" w:rsidRDefault="00483D2E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All Responsive Behaviour incidents continue to be reviewed by the Responsive Behaviour Team. </w:t>
      </w:r>
    </w:p>
    <w:p w:rsidR="00483D2E" w:rsidRPr="009400B4" w:rsidRDefault="00483D2E" w:rsidP="007C02F8">
      <w:pPr>
        <w:rPr>
          <w:rFonts w:ascii="Calibri" w:hAnsi="Calibri" w:cs="ArialNarrow"/>
          <w:szCs w:val="22"/>
        </w:rPr>
      </w:pPr>
    </w:p>
    <w:p w:rsidR="007C02F8" w:rsidRPr="009400B4" w:rsidRDefault="007C02F8" w:rsidP="007C02F8">
      <w:pPr>
        <w:rPr>
          <w:b/>
          <w:szCs w:val="22"/>
        </w:rPr>
      </w:pPr>
      <w:r>
        <w:rPr>
          <w:b/>
          <w:szCs w:val="22"/>
        </w:rPr>
        <w:t>Falls</w:t>
      </w:r>
      <w:r w:rsidR="00BF0B2B">
        <w:rPr>
          <w:b/>
          <w:szCs w:val="22"/>
        </w:rPr>
        <w:t xml:space="preserve"> </w:t>
      </w:r>
    </w:p>
    <w:p w:rsidR="005F22C7" w:rsidRDefault="007C02F8" w:rsidP="00483D2E">
      <w:pPr>
        <w:rPr>
          <w:szCs w:val="22"/>
        </w:rPr>
      </w:pPr>
      <w:r w:rsidRPr="009400B4">
        <w:rPr>
          <w:szCs w:val="22"/>
        </w:rPr>
        <w:t>The number of falls</w:t>
      </w:r>
      <w:r w:rsidR="003C133E">
        <w:rPr>
          <w:szCs w:val="22"/>
        </w:rPr>
        <w:t xml:space="preserve"> </w:t>
      </w:r>
      <w:r w:rsidR="0028577C">
        <w:rPr>
          <w:szCs w:val="22"/>
        </w:rPr>
        <w:t xml:space="preserve">is similar </w:t>
      </w:r>
      <w:r w:rsidR="003C133E">
        <w:rPr>
          <w:szCs w:val="22"/>
        </w:rPr>
        <w:t>to</w:t>
      </w:r>
      <w:r w:rsidR="00483D2E">
        <w:rPr>
          <w:szCs w:val="22"/>
        </w:rPr>
        <w:t xml:space="preserve"> last quarter</w:t>
      </w:r>
      <w:r w:rsidR="00E249B6">
        <w:rPr>
          <w:szCs w:val="22"/>
        </w:rPr>
        <w:t xml:space="preserve"> (</w:t>
      </w:r>
      <w:r w:rsidR="004623DC">
        <w:rPr>
          <w:szCs w:val="22"/>
        </w:rPr>
        <w:t>50</w:t>
      </w:r>
      <w:r w:rsidR="003C133E">
        <w:rPr>
          <w:szCs w:val="22"/>
        </w:rPr>
        <w:t xml:space="preserve"> falls)</w:t>
      </w:r>
      <w:r w:rsidR="00E249B6">
        <w:rPr>
          <w:szCs w:val="22"/>
        </w:rPr>
        <w:t xml:space="preserve"> and a</w:t>
      </w:r>
      <w:r w:rsidR="0028577C">
        <w:rPr>
          <w:szCs w:val="22"/>
        </w:rPr>
        <w:t xml:space="preserve">n increase from the </w:t>
      </w:r>
      <w:r w:rsidR="00483D2E">
        <w:rPr>
          <w:szCs w:val="22"/>
        </w:rPr>
        <w:t>same quarter of last year</w:t>
      </w:r>
      <w:r w:rsidR="004623DC">
        <w:rPr>
          <w:szCs w:val="22"/>
        </w:rPr>
        <w:t xml:space="preserve"> (35 </w:t>
      </w:r>
      <w:r w:rsidR="003C133E">
        <w:rPr>
          <w:szCs w:val="22"/>
        </w:rPr>
        <w:t>falls)</w:t>
      </w:r>
      <w:r w:rsidR="00483D2E">
        <w:rPr>
          <w:szCs w:val="22"/>
        </w:rPr>
        <w:t>.</w:t>
      </w:r>
      <w:r w:rsidRPr="009400B4">
        <w:rPr>
          <w:szCs w:val="22"/>
        </w:rPr>
        <w:t xml:space="preserve"> </w:t>
      </w:r>
      <w:r w:rsidR="004623DC">
        <w:rPr>
          <w:szCs w:val="22"/>
        </w:rPr>
        <w:t xml:space="preserve">Two residents </w:t>
      </w:r>
      <w:r w:rsidR="005F22C7" w:rsidRPr="00BD0FF7">
        <w:rPr>
          <w:szCs w:val="22"/>
        </w:rPr>
        <w:t xml:space="preserve">accounted for </w:t>
      </w:r>
      <w:r w:rsidR="004623DC">
        <w:rPr>
          <w:szCs w:val="22"/>
        </w:rPr>
        <w:t>24</w:t>
      </w:r>
      <w:r w:rsidR="00E249B6">
        <w:rPr>
          <w:szCs w:val="22"/>
        </w:rPr>
        <w:t>% of t</w:t>
      </w:r>
      <w:r w:rsidR="00BD0FF7">
        <w:rPr>
          <w:szCs w:val="22"/>
        </w:rPr>
        <w:t>he falls</w:t>
      </w:r>
      <w:r w:rsidR="004623DC">
        <w:rPr>
          <w:szCs w:val="22"/>
        </w:rPr>
        <w:t>.</w:t>
      </w:r>
      <w:r w:rsidR="00BD0FF7">
        <w:rPr>
          <w:szCs w:val="22"/>
        </w:rPr>
        <w:t xml:space="preserve"> </w:t>
      </w:r>
    </w:p>
    <w:p w:rsidR="003A274E" w:rsidRDefault="003A274E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Of the </w:t>
      </w:r>
      <w:r w:rsidR="004623DC">
        <w:rPr>
          <w:szCs w:val="22"/>
        </w:rPr>
        <w:t xml:space="preserve">49 </w:t>
      </w:r>
      <w:r>
        <w:rPr>
          <w:szCs w:val="22"/>
        </w:rPr>
        <w:t>falls</w:t>
      </w:r>
      <w:r w:rsidR="004623DC">
        <w:rPr>
          <w:szCs w:val="22"/>
        </w:rPr>
        <w:t>,</w:t>
      </w:r>
      <w:r>
        <w:rPr>
          <w:szCs w:val="22"/>
        </w:rPr>
        <w:t xml:space="preserve"> </w:t>
      </w:r>
      <w:r w:rsidR="004623DC">
        <w:rPr>
          <w:szCs w:val="22"/>
        </w:rPr>
        <w:t>2</w:t>
      </w:r>
      <w:r>
        <w:rPr>
          <w:szCs w:val="22"/>
        </w:rPr>
        <w:t xml:space="preserve"> were witnessed and </w:t>
      </w:r>
      <w:r w:rsidR="004623DC">
        <w:rPr>
          <w:szCs w:val="22"/>
        </w:rPr>
        <w:t>47</w:t>
      </w:r>
      <w:r>
        <w:rPr>
          <w:szCs w:val="22"/>
        </w:rPr>
        <w:t xml:space="preserve"> were unwitnessed. </w:t>
      </w:r>
    </w:p>
    <w:p w:rsidR="003A274E" w:rsidRDefault="004623DC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>13</w:t>
      </w:r>
      <w:r w:rsidR="00E249B6">
        <w:rPr>
          <w:szCs w:val="22"/>
        </w:rPr>
        <w:t xml:space="preserve"> </w:t>
      </w:r>
      <w:r w:rsidR="00BF0B2B">
        <w:rPr>
          <w:szCs w:val="22"/>
        </w:rPr>
        <w:t xml:space="preserve">falls resulted in </w:t>
      </w:r>
      <w:r w:rsidR="003A274E">
        <w:rPr>
          <w:szCs w:val="22"/>
        </w:rPr>
        <w:t xml:space="preserve">minor injuries from bruising to skin tears, </w:t>
      </w:r>
      <w:r w:rsidR="00E249B6">
        <w:rPr>
          <w:szCs w:val="22"/>
        </w:rPr>
        <w:t>and 1 fall resulted in a hip</w:t>
      </w:r>
      <w:r w:rsidR="00055044">
        <w:rPr>
          <w:szCs w:val="22"/>
        </w:rPr>
        <w:t xml:space="preserve"> </w:t>
      </w:r>
      <w:r w:rsidR="003A274E">
        <w:rPr>
          <w:szCs w:val="22"/>
        </w:rPr>
        <w:t>fracture</w:t>
      </w:r>
      <w:r>
        <w:rPr>
          <w:szCs w:val="22"/>
        </w:rPr>
        <w:t>,  resident was sent to hospital however was not a surgical candidate and returned to Shoreham.</w:t>
      </w:r>
      <w:r w:rsidR="00E249B6">
        <w:rPr>
          <w:szCs w:val="22"/>
        </w:rPr>
        <w:t xml:space="preserve"> The hip fracture was reported to DHW as a critical incident. </w:t>
      </w:r>
    </w:p>
    <w:p w:rsidR="003A274E" w:rsidRDefault="003A274E" w:rsidP="003A274E">
      <w:pPr>
        <w:pStyle w:val="ListParagraph"/>
        <w:rPr>
          <w:szCs w:val="22"/>
        </w:rPr>
      </w:pPr>
    </w:p>
    <w:p w:rsidR="007C02F8" w:rsidRPr="003A274E" w:rsidRDefault="007C02F8" w:rsidP="003A274E">
      <w:pPr>
        <w:pStyle w:val="ListParagraph"/>
        <w:ind w:left="0"/>
        <w:rPr>
          <w:szCs w:val="22"/>
        </w:rPr>
      </w:pPr>
      <w:r w:rsidRPr="003A274E">
        <w:rPr>
          <w:szCs w:val="22"/>
        </w:rPr>
        <w:t xml:space="preserve">All incidents </w:t>
      </w:r>
      <w:r w:rsidR="005F22C7">
        <w:rPr>
          <w:szCs w:val="22"/>
        </w:rPr>
        <w:t xml:space="preserve">continue to be </w:t>
      </w:r>
      <w:r w:rsidRPr="003A274E">
        <w:rPr>
          <w:szCs w:val="22"/>
        </w:rPr>
        <w:t>reviewed on a regular basis by the Manager Resident Care</w:t>
      </w:r>
      <w:r w:rsidR="00E249B6">
        <w:rPr>
          <w:szCs w:val="22"/>
        </w:rPr>
        <w:t xml:space="preserve"> and the mobility team</w:t>
      </w:r>
      <w:r w:rsidRPr="003A274E">
        <w:rPr>
          <w:szCs w:val="22"/>
        </w:rPr>
        <w:t xml:space="preserve"> with prevention</w:t>
      </w:r>
      <w:r w:rsidR="003A274E">
        <w:rPr>
          <w:szCs w:val="22"/>
        </w:rPr>
        <w:t xml:space="preserve"> strategies</w:t>
      </w:r>
      <w:r w:rsidR="005F22C7">
        <w:rPr>
          <w:szCs w:val="22"/>
        </w:rPr>
        <w:t xml:space="preserve"> added to the resident care plans.</w:t>
      </w:r>
      <w:r w:rsidRPr="003A274E">
        <w:rPr>
          <w:szCs w:val="22"/>
        </w:rPr>
        <w:t xml:space="preserve">  </w:t>
      </w:r>
    </w:p>
    <w:p w:rsidR="007C02F8" w:rsidRPr="009400B4" w:rsidRDefault="007C02F8" w:rsidP="007C02F8">
      <w:pPr>
        <w:rPr>
          <w:szCs w:val="22"/>
        </w:rPr>
      </w:pPr>
    </w:p>
    <w:p w:rsidR="00015F41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Medication Errors</w:t>
      </w:r>
      <w:r w:rsidR="006033F1">
        <w:rPr>
          <w:b/>
          <w:szCs w:val="22"/>
        </w:rPr>
        <w:t xml:space="preserve"> </w:t>
      </w:r>
    </w:p>
    <w:p w:rsidR="00C911BC" w:rsidRDefault="00C911BC" w:rsidP="00C911BC">
      <w:pPr>
        <w:rPr>
          <w:rFonts w:ascii="Calibri" w:hAnsi="Calibri" w:cs="ArialNarrow"/>
          <w:szCs w:val="22"/>
        </w:rPr>
      </w:pPr>
      <w:r>
        <w:rPr>
          <w:szCs w:val="22"/>
        </w:rPr>
        <w:t>The number of m</w:t>
      </w:r>
      <w:r w:rsidR="007C02F8">
        <w:rPr>
          <w:szCs w:val="22"/>
        </w:rPr>
        <w:t>edication errors have</w:t>
      </w:r>
      <w:r w:rsidR="007C02F8" w:rsidRPr="009400B4">
        <w:rPr>
          <w:szCs w:val="22"/>
        </w:rPr>
        <w:t xml:space="preserve"> </w:t>
      </w:r>
      <w:r w:rsidR="00BD0FF7">
        <w:rPr>
          <w:szCs w:val="22"/>
        </w:rPr>
        <w:t xml:space="preserve">increased </w:t>
      </w:r>
      <w:r w:rsidR="005B7123">
        <w:rPr>
          <w:szCs w:val="22"/>
        </w:rPr>
        <w:t xml:space="preserve">this </w:t>
      </w:r>
      <w:r w:rsidR="007C02F8" w:rsidRPr="009400B4">
        <w:rPr>
          <w:szCs w:val="22"/>
        </w:rPr>
        <w:t>quarter</w:t>
      </w:r>
      <w:r w:rsidR="00F97E01">
        <w:rPr>
          <w:szCs w:val="22"/>
        </w:rPr>
        <w:t xml:space="preserve"> </w:t>
      </w:r>
      <w:r w:rsidR="00BD0FF7">
        <w:rPr>
          <w:szCs w:val="22"/>
        </w:rPr>
        <w:t xml:space="preserve">and </w:t>
      </w:r>
      <w:r>
        <w:rPr>
          <w:szCs w:val="22"/>
        </w:rPr>
        <w:t xml:space="preserve">are similar to </w:t>
      </w:r>
      <w:r w:rsidR="00055044">
        <w:rPr>
          <w:szCs w:val="22"/>
        </w:rPr>
        <w:t>the same period of last year</w:t>
      </w:r>
      <w:r w:rsidR="00F97E01">
        <w:rPr>
          <w:szCs w:val="22"/>
        </w:rPr>
        <w:t xml:space="preserve">. </w:t>
      </w:r>
      <w:r w:rsidR="007C02F8" w:rsidRPr="009400B4">
        <w:rPr>
          <w:szCs w:val="22"/>
        </w:rPr>
        <w:t xml:space="preserve"> </w:t>
      </w:r>
      <w:r>
        <w:rPr>
          <w:rFonts w:ascii="Calibri" w:hAnsi="Calibri" w:cs="ArialNarrow"/>
          <w:szCs w:val="22"/>
        </w:rPr>
        <w:t>The number of incidents per wing: A –</w:t>
      </w:r>
      <w:r w:rsidR="00CD73F5">
        <w:rPr>
          <w:rFonts w:ascii="Calibri" w:hAnsi="Calibri" w:cs="ArialNarrow"/>
          <w:szCs w:val="22"/>
        </w:rPr>
        <w:t>6</w:t>
      </w:r>
      <w:r>
        <w:rPr>
          <w:rFonts w:ascii="Calibri" w:hAnsi="Calibri" w:cs="ArialNarrow"/>
          <w:szCs w:val="22"/>
        </w:rPr>
        <w:t xml:space="preserve">, B – </w:t>
      </w:r>
      <w:r w:rsidR="00CD73F5">
        <w:rPr>
          <w:rFonts w:ascii="Calibri" w:hAnsi="Calibri" w:cs="ArialNarrow"/>
          <w:szCs w:val="22"/>
        </w:rPr>
        <w:t>11</w:t>
      </w:r>
      <w:r>
        <w:rPr>
          <w:rFonts w:ascii="Calibri" w:hAnsi="Calibri" w:cs="ArialNarrow"/>
          <w:szCs w:val="22"/>
        </w:rPr>
        <w:t xml:space="preserve">, C – </w:t>
      </w:r>
      <w:r w:rsidR="00CD73F5">
        <w:rPr>
          <w:rFonts w:ascii="Calibri" w:hAnsi="Calibri" w:cs="ArialNarrow"/>
          <w:szCs w:val="22"/>
        </w:rPr>
        <w:t>4</w:t>
      </w:r>
      <w:r>
        <w:rPr>
          <w:rFonts w:ascii="Calibri" w:hAnsi="Calibri" w:cs="ArialNarrow"/>
          <w:szCs w:val="22"/>
        </w:rPr>
        <w:t xml:space="preserve">, D – </w:t>
      </w:r>
      <w:r w:rsidR="00CD73F5">
        <w:rPr>
          <w:rFonts w:ascii="Calibri" w:hAnsi="Calibri" w:cs="ArialNarrow"/>
          <w:szCs w:val="22"/>
        </w:rPr>
        <w:t>5</w:t>
      </w:r>
      <w:r>
        <w:rPr>
          <w:rFonts w:ascii="Calibri" w:hAnsi="Calibri" w:cs="ArialNarrow"/>
          <w:szCs w:val="22"/>
        </w:rPr>
        <w:t xml:space="preserve"> and E – </w:t>
      </w:r>
      <w:r w:rsidR="00CD73F5">
        <w:rPr>
          <w:rFonts w:ascii="Calibri" w:hAnsi="Calibri" w:cs="ArialNarrow"/>
          <w:szCs w:val="22"/>
        </w:rPr>
        <w:t>9</w:t>
      </w:r>
      <w:r>
        <w:rPr>
          <w:rFonts w:ascii="Calibri" w:hAnsi="Calibri" w:cs="ArialNarrow"/>
          <w:szCs w:val="22"/>
        </w:rPr>
        <w:t xml:space="preserve">.   </w:t>
      </w:r>
    </w:p>
    <w:p w:rsidR="00B6263D" w:rsidRDefault="005B7123" w:rsidP="007C02F8">
      <w:pPr>
        <w:rPr>
          <w:szCs w:val="22"/>
        </w:rPr>
      </w:pPr>
      <w:r>
        <w:rPr>
          <w:szCs w:val="22"/>
        </w:rPr>
        <w:t xml:space="preserve">Missed doses account for </w:t>
      </w:r>
      <w:r w:rsidR="00CD73F5">
        <w:rPr>
          <w:szCs w:val="22"/>
        </w:rPr>
        <w:t>43</w:t>
      </w:r>
      <w:r w:rsidR="004175E1">
        <w:rPr>
          <w:szCs w:val="22"/>
        </w:rPr>
        <w:t>% of all incidents and transcription</w:t>
      </w:r>
      <w:r>
        <w:rPr>
          <w:szCs w:val="22"/>
        </w:rPr>
        <w:t xml:space="preserve"> errors were </w:t>
      </w:r>
      <w:r w:rsidR="00CD73F5">
        <w:rPr>
          <w:szCs w:val="22"/>
        </w:rPr>
        <w:t>31</w:t>
      </w:r>
      <w:r w:rsidR="004175E1">
        <w:rPr>
          <w:szCs w:val="22"/>
        </w:rPr>
        <w:t xml:space="preserve">%.  </w:t>
      </w:r>
      <w:r>
        <w:rPr>
          <w:szCs w:val="22"/>
        </w:rPr>
        <w:t>All errors are review with staff involved in the errors.  There were no errors resulting in injury to residents</w:t>
      </w:r>
      <w:r w:rsidR="00CD73F5">
        <w:rPr>
          <w:szCs w:val="22"/>
        </w:rPr>
        <w:t>.</w:t>
      </w:r>
    </w:p>
    <w:p w:rsidR="005B7123" w:rsidRDefault="005B7123" w:rsidP="007C02F8">
      <w:pPr>
        <w:rPr>
          <w:szCs w:val="22"/>
        </w:rPr>
      </w:pPr>
    </w:p>
    <w:p w:rsidR="00CA7A60" w:rsidRDefault="00CE3D0C" w:rsidP="007C02F8">
      <w:pPr>
        <w:rPr>
          <w:szCs w:val="22"/>
        </w:rPr>
      </w:pPr>
      <w:r>
        <w:rPr>
          <w:szCs w:val="22"/>
        </w:rPr>
        <w:t>Following an</w:t>
      </w:r>
      <w:r w:rsidR="009B2164">
        <w:rPr>
          <w:szCs w:val="22"/>
        </w:rPr>
        <w:t xml:space="preserve"> uptick in medication occurrences – a detailed investigation occurred and it was </w:t>
      </w:r>
      <w:r w:rsidR="00CA7A60">
        <w:rPr>
          <w:szCs w:val="22"/>
        </w:rPr>
        <w:t xml:space="preserve">determined </w:t>
      </w:r>
      <w:r>
        <w:rPr>
          <w:szCs w:val="22"/>
        </w:rPr>
        <w:t xml:space="preserve">that a practice was occurring on the evening shift which resulted in the missed doses and transcription errors. </w:t>
      </w:r>
      <w:r w:rsidR="009B2164">
        <w:rPr>
          <w:szCs w:val="22"/>
        </w:rPr>
        <w:t xml:space="preserve">The Nurse Managers reviewed safe medication administration practices and met with the staff. Practice expectations were reviewed and </w:t>
      </w:r>
      <w:r w:rsidR="00427D1B">
        <w:rPr>
          <w:szCs w:val="22"/>
        </w:rPr>
        <w:t>suppertime</w:t>
      </w:r>
      <w:r w:rsidR="00CA7A60">
        <w:rPr>
          <w:szCs w:val="22"/>
        </w:rPr>
        <w:t xml:space="preserve"> med administration</w:t>
      </w:r>
      <w:r w:rsidR="009B2164">
        <w:rPr>
          <w:szCs w:val="22"/>
        </w:rPr>
        <w:t xml:space="preserve"> </w:t>
      </w:r>
      <w:r>
        <w:rPr>
          <w:szCs w:val="22"/>
        </w:rPr>
        <w:t>process has been reinforced to reflect best practice.</w:t>
      </w:r>
    </w:p>
    <w:p w:rsidR="00CA7A60" w:rsidRDefault="00CA7A60" w:rsidP="007C02F8">
      <w:pPr>
        <w:rPr>
          <w:szCs w:val="22"/>
        </w:rPr>
      </w:pPr>
    </w:p>
    <w:p w:rsidR="00CA7A60" w:rsidRDefault="00CA7A60" w:rsidP="007C02F8">
      <w:pPr>
        <w:rPr>
          <w:szCs w:val="22"/>
        </w:rPr>
      </w:pPr>
      <w:r>
        <w:rPr>
          <w:szCs w:val="22"/>
        </w:rPr>
        <w:t xml:space="preserve">Follow-up e-mail communication has been sent to all registered staff. The Nurse Manager responsible for follow-up has begun reviewing all medication occurrences monthly with the registered staff in additional to 1:1 with individuals so that treads and practice themes are identified quickly and additional occurrences are prevented. </w:t>
      </w:r>
    </w:p>
    <w:p w:rsidR="00CA7A60" w:rsidRDefault="00CA7A60" w:rsidP="007C02F8">
      <w:pPr>
        <w:rPr>
          <w:szCs w:val="22"/>
        </w:rPr>
      </w:pPr>
    </w:p>
    <w:p w:rsidR="00CA7A60" w:rsidRDefault="00CA7A60" w:rsidP="007C02F8">
      <w:pPr>
        <w:rPr>
          <w:szCs w:val="22"/>
        </w:rPr>
      </w:pPr>
      <w:r>
        <w:rPr>
          <w:szCs w:val="22"/>
        </w:rPr>
        <w:t xml:space="preserve">This will continue to be closely monitored. </w:t>
      </w:r>
    </w:p>
    <w:p w:rsidR="00CD73F5" w:rsidRDefault="00CD73F5" w:rsidP="007C02F8">
      <w:pPr>
        <w:rPr>
          <w:b/>
          <w:szCs w:val="22"/>
        </w:rPr>
      </w:pPr>
    </w:p>
    <w:p w:rsidR="007C02F8" w:rsidRPr="009400B4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Other Incidents</w:t>
      </w:r>
      <w:r w:rsidR="00A3371A">
        <w:rPr>
          <w:b/>
          <w:szCs w:val="22"/>
        </w:rPr>
        <w:t xml:space="preserve"> </w:t>
      </w:r>
    </w:p>
    <w:p w:rsidR="007E6268" w:rsidRPr="000A5242" w:rsidRDefault="000A5242" w:rsidP="002958B0">
      <w:pPr>
        <w:rPr>
          <w:szCs w:val="22"/>
        </w:rPr>
      </w:pPr>
      <w:r>
        <w:rPr>
          <w:szCs w:val="22"/>
        </w:rPr>
        <w:t xml:space="preserve">Of the </w:t>
      </w:r>
      <w:r w:rsidR="00CD73F5">
        <w:rPr>
          <w:szCs w:val="22"/>
        </w:rPr>
        <w:t>45</w:t>
      </w:r>
      <w:r w:rsidR="00E70EC2">
        <w:rPr>
          <w:szCs w:val="22"/>
        </w:rPr>
        <w:t xml:space="preserve"> incidents classified as other, </w:t>
      </w:r>
      <w:r w:rsidR="00CD73F5">
        <w:rPr>
          <w:szCs w:val="22"/>
        </w:rPr>
        <w:t>4 choking incidents</w:t>
      </w:r>
      <w:r w:rsidR="00E70EC2">
        <w:rPr>
          <w:szCs w:val="22"/>
        </w:rPr>
        <w:t>,</w:t>
      </w:r>
      <w:r w:rsidR="00CD73F5">
        <w:rPr>
          <w:szCs w:val="22"/>
        </w:rPr>
        <w:t xml:space="preserve"> 3</w:t>
      </w:r>
      <w:r>
        <w:rPr>
          <w:szCs w:val="22"/>
        </w:rPr>
        <w:t xml:space="preserve"> were </w:t>
      </w:r>
      <w:r w:rsidR="007C02F8" w:rsidRPr="009400B4">
        <w:rPr>
          <w:szCs w:val="22"/>
        </w:rPr>
        <w:t xml:space="preserve">elopement, </w:t>
      </w:r>
      <w:r w:rsidR="00A3371A">
        <w:rPr>
          <w:szCs w:val="22"/>
        </w:rPr>
        <w:t>1</w:t>
      </w:r>
      <w:r w:rsidR="00E70EC2">
        <w:rPr>
          <w:szCs w:val="22"/>
        </w:rPr>
        <w:t>4</w:t>
      </w:r>
      <w:r w:rsidR="00BD0FF7">
        <w:rPr>
          <w:szCs w:val="22"/>
        </w:rPr>
        <w:t xml:space="preserve"> were near miss </w:t>
      </w:r>
      <w:r w:rsidR="00E249B6">
        <w:rPr>
          <w:szCs w:val="22"/>
        </w:rPr>
        <w:t>incidents</w:t>
      </w:r>
      <w:r w:rsidR="008D5EA6">
        <w:rPr>
          <w:szCs w:val="22"/>
        </w:rPr>
        <w:t xml:space="preserve">, and </w:t>
      </w:r>
      <w:r w:rsidR="00E70EC2">
        <w:rPr>
          <w:szCs w:val="22"/>
        </w:rPr>
        <w:t>24</w:t>
      </w:r>
      <w:r w:rsidR="008D5EA6">
        <w:rPr>
          <w:szCs w:val="22"/>
        </w:rPr>
        <w:t xml:space="preserve"> other (e</w:t>
      </w:r>
      <w:r w:rsidR="00E70EC2">
        <w:rPr>
          <w:szCs w:val="22"/>
        </w:rPr>
        <w:t>g</w:t>
      </w:r>
      <w:r w:rsidR="008D5EA6">
        <w:rPr>
          <w:szCs w:val="22"/>
        </w:rPr>
        <w:t xml:space="preserve">. </w:t>
      </w:r>
      <w:r w:rsidR="00E70EC2">
        <w:rPr>
          <w:szCs w:val="22"/>
        </w:rPr>
        <w:t>i</w:t>
      </w:r>
      <w:r w:rsidR="00CD73F5">
        <w:rPr>
          <w:szCs w:val="22"/>
        </w:rPr>
        <w:t>nappropriate behaviou</w:t>
      </w:r>
      <w:r w:rsidR="00E70EC2">
        <w:rPr>
          <w:szCs w:val="22"/>
        </w:rPr>
        <w:t>r</w:t>
      </w:r>
      <w:r w:rsidR="00CD73F5">
        <w:rPr>
          <w:szCs w:val="22"/>
        </w:rPr>
        <w:t>s</w:t>
      </w:r>
      <w:r w:rsidR="008D5EA6">
        <w:rPr>
          <w:szCs w:val="22"/>
        </w:rPr>
        <w:t xml:space="preserve">, call bell around head, </w:t>
      </w:r>
      <w:r w:rsidR="00E70EC2">
        <w:rPr>
          <w:szCs w:val="22"/>
        </w:rPr>
        <w:t>removal of safety belt</w:t>
      </w:r>
      <w:r w:rsidR="008D5EA6">
        <w:rPr>
          <w:szCs w:val="22"/>
        </w:rPr>
        <w:t>)</w:t>
      </w:r>
    </w:p>
    <w:p w:rsidR="008B5A9E" w:rsidRDefault="008B5A9E" w:rsidP="00D70818">
      <w:pPr>
        <w:rPr>
          <w:b/>
          <w:sz w:val="24"/>
        </w:rPr>
      </w:pPr>
    </w:p>
    <w:p w:rsidR="008B5A9E" w:rsidRDefault="008B5A9E" w:rsidP="00D70818">
      <w:pPr>
        <w:rPr>
          <w:b/>
          <w:sz w:val="24"/>
        </w:rPr>
      </w:pPr>
    </w:p>
    <w:p w:rsidR="004A63A6" w:rsidRDefault="00E964A8" w:rsidP="00D70818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</w:r>
      <w:r w:rsidR="00D70818">
        <w:rPr>
          <w:b/>
          <w:sz w:val="24"/>
        </w:rPr>
        <w:t>Shoreham Village</w:t>
      </w:r>
      <w:r w:rsidR="00D70818" w:rsidRPr="008A1497">
        <w:rPr>
          <w:b/>
          <w:sz w:val="24"/>
        </w:rPr>
        <w:t xml:space="preserve"> - Resident</w:t>
      </w:r>
      <w:r w:rsidR="00D70818" w:rsidRPr="008A1497">
        <w:rPr>
          <w:b/>
          <w:bCs/>
          <w:i/>
          <w:iCs/>
          <w:sz w:val="24"/>
        </w:rPr>
        <w:t xml:space="preserve"> </w:t>
      </w:r>
      <w:r w:rsidR="00D70818" w:rsidRPr="008A1497">
        <w:rPr>
          <w:b/>
          <w:sz w:val="24"/>
        </w:rPr>
        <w:t>Infection Report – Q</w:t>
      </w:r>
      <w:r w:rsidR="003141E3">
        <w:rPr>
          <w:b/>
          <w:sz w:val="24"/>
        </w:rPr>
        <w:t>2</w:t>
      </w:r>
      <w:r w:rsidR="008B5A9E">
        <w:rPr>
          <w:b/>
          <w:sz w:val="24"/>
        </w:rPr>
        <w:t xml:space="preserve"> </w:t>
      </w:r>
      <w:r w:rsidR="003141E3">
        <w:rPr>
          <w:b/>
          <w:sz w:val="24"/>
        </w:rPr>
        <w:t>July</w:t>
      </w:r>
      <w:r w:rsidR="008B5A9E">
        <w:rPr>
          <w:b/>
          <w:sz w:val="24"/>
        </w:rPr>
        <w:t xml:space="preserve"> </w:t>
      </w:r>
      <w:r w:rsidR="002802F2" w:rsidRPr="002802F2">
        <w:rPr>
          <w:b/>
        </w:rPr>
        <w:t xml:space="preserve">- </w:t>
      </w:r>
      <w:r w:rsidR="002A3CF7">
        <w:rPr>
          <w:b/>
        </w:rPr>
        <w:t xml:space="preserve">September </w:t>
      </w:r>
      <w:r w:rsidR="00D865FD">
        <w:rPr>
          <w:b/>
        </w:rPr>
        <w:t>2021/22</w:t>
      </w:r>
    </w:p>
    <w:p w:rsidR="00E964A8" w:rsidRPr="008A1497" w:rsidRDefault="00E964A8" w:rsidP="00D70818">
      <w:pPr>
        <w:rPr>
          <w:b/>
          <w:sz w:val="24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355"/>
        <w:gridCol w:w="1480"/>
        <w:gridCol w:w="1480"/>
        <w:gridCol w:w="1480"/>
        <w:gridCol w:w="1390"/>
        <w:gridCol w:w="1390"/>
      </w:tblGrid>
      <w:tr w:rsidR="002A3CF7" w:rsidTr="005B5C4A">
        <w:tc>
          <w:tcPr>
            <w:tcW w:w="2355" w:type="dxa"/>
          </w:tcPr>
          <w:p w:rsidR="002A3CF7" w:rsidRPr="00F05E23" w:rsidRDefault="002A3CF7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Total # of In</w:t>
            </w:r>
            <w:r>
              <w:rPr>
                <w:rFonts w:ascii="Calibri" w:hAnsi="Calibri"/>
                <w:b/>
                <w:bCs/>
                <w:color w:val="000000"/>
              </w:rPr>
              <w:t>fections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 xml:space="preserve"> Per Quarter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2A3CF7" w:rsidRDefault="002A3CF7" w:rsidP="009F061E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2A3CF7" w:rsidRPr="008E070D" w:rsidRDefault="00D865FD" w:rsidP="009F061E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480" w:type="dxa"/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2A3CF7" w:rsidRPr="008E070D" w:rsidRDefault="00D865FD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480" w:type="dxa"/>
          </w:tcPr>
          <w:p w:rsidR="002A3CF7" w:rsidRDefault="002A3CF7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2A3CF7" w:rsidRPr="008E070D" w:rsidRDefault="00D865FD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2A3CF7" w:rsidRPr="008E070D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2A3CF7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>Respiratory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  <w:r>
              <w:t>3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0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Urinary Tract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  <w:r>
              <w:t>10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7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4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Skin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  <w:r>
              <w:t>10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Gastrointestinal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>Other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3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/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Total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  <w:r>
              <w:t>26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11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506351" w:rsidTr="005B5C4A">
        <w:tc>
          <w:tcPr>
            <w:tcW w:w="8185" w:type="dxa"/>
            <w:gridSpan w:val="5"/>
            <w:shd w:val="clear" w:color="auto" w:fill="BFBFBF" w:themeFill="background1" w:themeFillShade="BF"/>
          </w:tcPr>
          <w:p w:rsidR="00506351" w:rsidRDefault="00506351" w:rsidP="00506351">
            <w:pPr>
              <w:jc w:val="center"/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:rsidR="00506351" w:rsidRDefault="00506351" w:rsidP="00506351">
            <w:pPr>
              <w:jc w:val="center"/>
            </w:pPr>
          </w:p>
        </w:tc>
      </w:tr>
      <w:tr w:rsidR="00506351" w:rsidTr="005B5C4A">
        <w:tc>
          <w:tcPr>
            <w:tcW w:w="2355" w:type="dxa"/>
          </w:tcPr>
          <w:p w:rsidR="00506351" w:rsidRPr="00F05E23" w:rsidRDefault="00506351" w:rsidP="00506351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>Per 1000 Resident Days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506351" w:rsidRPr="009F061E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F061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  <w:p w:rsidR="00506351" w:rsidRPr="008E070D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480" w:type="dxa"/>
          </w:tcPr>
          <w:p w:rsidR="00506351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506351" w:rsidRPr="008E070D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480" w:type="dxa"/>
          </w:tcPr>
          <w:p w:rsidR="00506351" w:rsidRDefault="00506351" w:rsidP="00506351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506351" w:rsidRPr="008E070D" w:rsidRDefault="00506351" w:rsidP="00506351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506351" w:rsidRPr="008E070D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>Respiratory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0.39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0.64</w:t>
            </w:r>
          </w:p>
        </w:tc>
        <w:tc>
          <w:tcPr>
            <w:tcW w:w="1480" w:type="dxa"/>
          </w:tcPr>
          <w:p w:rsidR="00A53D0F" w:rsidRPr="00FB190F" w:rsidRDefault="00C532F8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Urinary Tract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1.32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0.64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.52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Skin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1.32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1.28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.26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Gastrointestinal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0.13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0.00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.13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>Other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ind w:left="-108"/>
              <w:jc w:val="center"/>
            </w:pPr>
            <w:r>
              <w:t>0.26</w:t>
            </w:r>
          </w:p>
        </w:tc>
        <w:tc>
          <w:tcPr>
            <w:tcW w:w="1480" w:type="dxa"/>
          </w:tcPr>
          <w:p w:rsidR="00A53D0F" w:rsidRDefault="00A53D0F" w:rsidP="00A53D0F">
            <w:pPr>
              <w:ind w:left="-120" w:right="-33"/>
              <w:jc w:val="center"/>
            </w:pPr>
            <w:r>
              <w:t>0.26</w:t>
            </w:r>
          </w:p>
        </w:tc>
        <w:tc>
          <w:tcPr>
            <w:tcW w:w="1480" w:type="dxa"/>
          </w:tcPr>
          <w:p w:rsidR="00A53D0F" w:rsidRDefault="00B20879" w:rsidP="00A53D0F">
            <w:pPr>
              <w:ind w:left="-108"/>
              <w:jc w:val="center"/>
            </w:pPr>
            <w:r>
              <w:t>.39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/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Total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ind w:left="-108"/>
              <w:jc w:val="center"/>
            </w:pPr>
            <w:r>
              <w:t>3.42</w:t>
            </w:r>
          </w:p>
        </w:tc>
        <w:tc>
          <w:tcPr>
            <w:tcW w:w="1480" w:type="dxa"/>
          </w:tcPr>
          <w:p w:rsidR="00A53D0F" w:rsidRDefault="00A53D0F" w:rsidP="00A53D0F">
            <w:pPr>
              <w:ind w:left="-108"/>
              <w:jc w:val="center"/>
            </w:pPr>
            <w:r>
              <w:t>2.82</w:t>
            </w:r>
          </w:p>
        </w:tc>
        <w:tc>
          <w:tcPr>
            <w:tcW w:w="1480" w:type="dxa"/>
          </w:tcPr>
          <w:p w:rsidR="00A53D0F" w:rsidRDefault="00B20879" w:rsidP="00A53D0F">
            <w:pPr>
              <w:ind w:left="-108"/>
              <w:jc w:val="center"/>
            </w:pPr>
            <w:r>
              <w:t>1.29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</w:pPr>
          </w:p>
        </w:tc>
      </w:tr>
    </w:tbl>
    <w:p w:rsidR="00D70818" w:rsidRDefault="00D70818" w:rsidP="00D70818"/>
    <w:p w:rsidR="00E964A8" w:rsidRDefault="00E964A8" w:rsidP="00D70818"/>
    <w:p w:rsidR="00D70818" w:rsidRDefault="00E964A8" w:rsidP="00D70818">
      <w:r w:rsidRPr="00E964A8">
        <w:rPr>
          <w:noProof/>
          <w:bdr w:val="single" w:sz="6" w:space="0" w:color="auto"/>
          <w:lang w:val="en-CA" w:eastAsia="en-CA"/>
        </w:rPr>
        <w:drawing>
          <wp:inline distT="0" distB="0" distL="0" distR="0">
            <wp:extent cx="6099810" cy="3135085"/>
            <wp:effectExtent l="0" t="0" r="15240" b="82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818" w:rsidRDefault="00D70818" w:rsidP="00D70818"/>
    <w:p w:rsidR="00D70818" w:rsidRDefault="00D70818" w:rsidP="00D70818"/>
    <w:p w:rsidR="00D70818" w:rsidRDefault="00D70818" w:rsidP="00D70818">
      <w:r>
        <w:rPr>
          <w:noProof/>
          <w:lang w:val="en-CA" w:eastAsia="en-CA"/>
        </w:rPr>
        <w:drawing>
          <wp:inline distT="0" distB="0" distL="0" distR="0">
            <wp:extent cx="6112873" cy="3317875"/>
            <wp:effectExtent l="0" t="0" r="2540" b="158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0818" w:rsidRDefault="00D70818" w:rsidP="00D70818"/>
    <w:p w:rsidR="00D70818" w:rsidRDefault="00D70818" w:rsidP="00D70818">
      <w:pPr>
        <w:rPr>
          <w:b/>
        </w:rPr>
      </w:pPr>
      <w:r w:rsidRPr="00A72ADF">
        <w:rPr>
          <w:b/>
        </w:rPr>
        <w:t>Comments:</w:t>
      </w:r>
    </w:p>
    <w:p w:rsidR="00D70818" w:rsidRPr="00BD20D8" w:rsidRDefault="00D70818" w:rsidP="00D70818">
      <w:pPr>
        <w:rPr>
          <w:b/>
          <w:sz w:val="16"/>
          <w:szCs w:val="16"/>
        </w:rPr>
      </w:pPr>
    </w:p>
    <w:p w:rsidR="002673C2" w:rsidRDefault="002673C2" w:rsidP="00D70818"/>
    <w:p w:rsidR="00D36E35" w:rsidRPr="00D36E35" w:rsidRDefault="00824EE2" w:rsidP="00D70818">
      <w:r>
        <w:t>The tota</w:t>
      </w:r>
      <w:r w:rsidR="000844CD">
        <w:t>l number of infections for the 2nd</w:t>
      </w:r>
      <w:r>
        <w:t xml:space="preserve"> quarter </w:t>
      </w:r>
      <w:r w:rsidR="00F92D1D">
        <w:t>(</w:t>
      </w:r>
      <w:r w:rsidR="00C532F8">
        <w:t>10</w:t>
      </w:r>
      <w:r w:rsidR="00F92D1D">
        <w:t>)</w:t>
      </w:r>
      <w:r w:rsidR="001253A1">
        <w:t xml:space="preserve"> shows a</w:t>
      </w:r>
      <w:r w:rsidR="00C532F8">
        <w:t xml:space="preserve"> de</w:t>
      </w:r>
      <w:r w:rsidR="008537FE">
        <w:t>crease</w:t>
      </w:r>
      <w:r w:rsidR="00990981">
        <w:t xml:space="preserve"> over </w:t>
      </w:r>
      <w:r w:rsidR="007552D3">
        <w:t xml:space="preserve">the last quarter (11) and </w:t>
      </w:r>
      <w:r w:rsidR="00990981">
        <w:t>the</w:t>
      </w:r>
      <w:r w:rsidR="002673C2">
        <w:t xml:space="preserve"> same period of last year at </w:t>
      </w:r>
      <w:r w:rsidR="00F92D1D">
        <w:t>(</w:t>
      </w:r>
      <w:r w:rsidR="008537FE">
        <w:t>2</w:t>
      </w:r>
      <w:r w:rsidR="00C532F8">
        <w:t>6</w:t>
      </w:r>
      <w:r w:rsidR="00F92D1D">
        <w:t>)</w:t>
      </w:r>
      <w:r w:rsidR="00990981">
        <w:t>.</w:t>
      </w:r>
    </w:p>
    <w:p w:rsidR="00D36E35" w:rsidRDefault="00D36E35" w:rsidP="00D70818">
      <w:pPr>
        <w:rPr>
          <w:b/>
        </w:rPr>
      </w:pPr>
    </w:p>
    <w:p w:rsidR="00A335D1" w:rsidRDefault="00D70818" w:rsidP="00D70818">
      <w:pPr>
        <w:rPr>
          <w:b/>
        </w:rPr>
      </w:pPr>
      <w:r>
        <w:rPr>
          <w:b/>
        </w:rPr>
        <w:t>Respiratory Infections</w:t>
      </w:r>
      <w:r w:rsidR="008D5EA6">
        <w:rPr>
          <w:b/>
        </w:rPr>
        <w:t xml:space="preserve"> </w:t>
      </w:r>
    </w:p>
    <w:p w:rsidR="00DA152B" w:rsidRDefault="00D70818" w:rsidP="00D70818">
      <w:r>
        <w:t>The</w:t>
      </w:r>
      <w:r w:rsidR="00C532F8">
        <w:t xml:space="preserve">re were no </w:t>
      </w:r>
      <w:r w:rsidR="008A3793">
        <w:t>respiratory infections</w:t>
      </w:r>
      <w:r w:rsidR="00C532F8">
        <w:t xml:space="preserve"> this quarter, </w:t>
      </w:r>
      <w:r w:rsidR="008537FE">
        <w:t>a</w:t>
      </w:r>
      <w:r w:rsidR="00990981">
        <w:t xml:space="preserve"> decrease</w:t>
      </w:r>
      <w:r w:rsidR="00C532F8">
        <w:t xml:space="preserve"> from </w:t>
      </w:r>
      <w:r w:rsidR="007552D3">
        <w:t>the 1</w:t>
      </w:r>
      <w:r w:rsidR="007552D3" w:rsidRPr="00C532F8">
        <w:rPr>
          <w:vertAlign w:val="superscript"/>
        </w:rPr>
        <w:t>st</w:t>
      </w:r>
      <w:r w:rsidR="007552D3">
        <w:t xml:space="preserve"> quarter (2) and </w:t>
      </w:r>
      <w:r w:rsidR="00C532F8">
        <w:t>the same period of last year</w:t>
      </w:r>
      <w:r w:rsidR="007552D3">
        <w:t xml:space="preserve"> (</w:t>
      </w:r>
      <w:r w:rsidR="008537FE">
        <w:t>3</w:t>
      </w:r>
      <w:r w:rsidR="007552D3">
        <w:t>)</w:t>
      </w:r>
      <w:r w:rsidR="00C532F8">
        <w:t>. The decrease maybe related to the ongoing COVID precautions.</w:t>
      </w:r>
      <w:r w:rsidR="008537FE">
        <w:t xml:space="preserve"> </w:t>
      </w:r>
      <w:r w:rsidR="00F92D1D">
        <w:t xml:space="preserve">  </w:t>
      </w:r>
    </w:p>
    <w:p w:rsidR="00A82FB4" w:rsidRDefault="00A82FB4" w:rsidP="00D70818"/>
    <w:p w:rsidR="00D70818" w:rsidRPr="00610D47" w:rsidRDefault="00D70818" w:rsidP="00D70818">
      <w:pPr>
        <w:rPr>
          <w:b/>
        </w:rPr>
      </w:pPr>
      <w:r w:rsidRPr="00610D47">
        <w:rPr>
          <w:b/>
        </w:rPr>
        <w:t>Urinary Tract Infections</w:t>
      </w:r>
    </w:p>
    <w:p w:rsidR="008A4D31" w:rsidRDefault="00D70818" w:rsidP="00D70818">
      <w:r>
        <w:t>The number of re</w:t>
      </w:r>
      <w:r w:rsidR="00470322">
        <w:t>ported Urinary Tract Infections (</w:t>
      </w:r>
      <w:r w:rsidR="00C532F8">
        <w:t>4</w:t>
      </w:r>
      <w:r w:rsidR="00470322">
        <w:t xml:space="preserve">) </w:t>
      </w:r>
      <w:r w:rsidR="00C532F8">
        <w:t>de</w:t>
      </w:r>
      <w:r w:rsidR="008537FE">
        <w:t>creased</w:t>
      </w:r>
      <w:r w:rsidR="00DA152B">
        <w:t xml:space="preserve"> from</w:t>
      </w:r>
      <w:r w:rsidR="008A4D31">
        <w:t xml:space="preserve"> the last </w:t>
      </w:r>
      <w:r w:rsidR="00A55223">
        <w:t>year (10) and the 1</w:t>
      </w:r>
      <w:r w:rsidR="00A55223" w:rsidRPr="00A55223">
        <w:rPr>
          <w:vertAlign w:val="superscript"/>
        </w:rPr>
        <w:t>st</w:t>
      </w:r>
      <w:r w:rsidR="00A55223">
        <w:t xml:space="preserve"> q</w:t>
      </w:r>
      <w:r w:rsidR="008A4D31">
        <w:t>uarter</w:t>
      </w:r>
      <w:r w:rsidR="00470322">
        <w:t xml:space="preserve"> (</w:t>
      </w:r>
      <w:r w:rsidR="00A55223">
        <w:t>7</w:t>
      </w:r>
      <w:r w:rsidR="00470322">
        <w:t>)</w:t>
      </w:r>
      <w:r w:rsidR="00DA152B">
        <w:t>.</w:t>
      </w:r>
      <w:r w:rsidR="0019297B">
        <w:t xml:space="preserve"> </w:t>
      </w:r>
    </w:p>
    <w:p w:rsidR="00A55223" w:rsidRDefault="00A55223" w:rsidP="00D70818">
      <w:r>
        <w:t>All residents were treated in house and symptoms resolved.</w:t>
      </w:r>
    </w:p>
    <w:p w:rsidR="00DA152B" w:rsidRDefault="00DA152B" w:rsidP="00D70818"/>
    <w:p w:rsidR="00D70818" w:rsidRDefault="00D70818" w:rsidP="00D70818">
      <w:pPr>
        <w:rPr>
          <w:b/>
        </w:rPr>
      </w:pPr>
      <w:r w:rsidRPr="00610D47">
        <w:rPr>
          <w:b/>
        </w:rPr>
        <w:t>Skin Infections</w:t>
      </w:r>
    </w:p>
    <w:p w:rsidR="007A32CB" w:rsidRDefault="00D70818" w:rsidP="00D70818">
      <w:r>
        <w:t>The</w:t>
      </w:r>
      <w:r w:rsidR="00A55223">
        <w:t xml:space="preserve"> number of skin infections (2) have and increase </w:t>
      </w:r>
      <w:r w:rsidR="007A32CB">
        <w:t>from the last quarter (</w:t>
      </w:r>
      <w:r w:rsidR="00A55223">
        <w:t>0</w:t>
      </w:r>
      <w:r w:rsidR="008537FE">
        <w:t>)</w:t>
      </w:r>
      <w:r w:rsidR="007552D3">
        <w:t xml:space="preserve"> and a decreased from the same period of last year (10). </w:t>
      </w:r>
      <w:r w:rsidR="00A55223">
        <w:t xml:space="preserve">The infection were unrelated to wounds and were treated in house and resolved. </w:t>
      </w:r>
    </w:p>
    <w:p w:rsidR="00A55223" w:rsidRDefault="00A55223" w:rsidP="00D70818"/>
    <w:p w:rsidR="00D70818" w:rsidRPr="00610D47" w:rsidRDefault="00D70818" w:rsidP="00D70818">
      <w:pPr>
        <w:rPr>
          <w:b/>
        </w:rPr>
      </w:pPr>
      <w:r w:rsidRPr="00610D47">
        <w:rPr>
          <w:b/>
        </w:rPr>
        <w:t>Gastrointestinal Infections</w:t>
      </w:r>
    </w:p>
    <w:p w:rsidR="00D70818" w:rsidRDefault="008537FE" w:rsidP="00D70818">
      <w:r>
        <w:t>There was 1 gastrointestinal infection</w:t>
      </w:r>
      <w:r w:rsidR="00EB2216">
        <w:t>.</w:t>
      </w:r>
      <w:r w:rsidR="00A55223">
        <w:t xml:space="preserve"> There was a positive case of Clostridium difficile.  The infection was contained to one resident and resolved.</w:t>
      </w:r>
    </w:p>
    <w:p w:rsidR="00D70818" w:rsidRDefault="00D70818" w:rsidP="00D70818"/>
    <w:p w:rsidR="00D70818" w:rsidRDefault="00D70818" w:rsidP="00D70818">
      <w:pPr>
        <w:rPr>
          <w:b/>
        </w:rPr>
      </w:pPr>
      <w:r w:rsidRPr="002D112C">
        <w:rPr>
          <w:b/>
        </w:rPr>
        <w:t>Other Infections</w:t>
      </w:r>
      <w:r>
        <w:rPr>
          <w:b/>
        </w:rPr>
        <w:t xml:space="preserve"> (eye, genitourinary, ear, oral)</w:t>
      </w:r>
    </w:p>
    <w:p w:rsidR="00D70818" w:rsidRDefault="00D70818" w:rsidP="00D70818">
      <w:r>
        <w:t xml:space="preserve">The other </w:t>
      </w:r>
      <w:r w:rsidR="00A55223">
        <w:t>3</w:t>
      </w:r>
      <w:r w:rsidR="000844CD">
        <w:t xml:space="preserve"> </w:t>
      </w:r>
      <w:r>
        <w:t xml:space="preserve">infections </w:t>
      </w:r>
      <w:r w:rsidR="00C247CD">
        <w:t xml:space="preserve">were </w:t>
      </w:r>
      <w:r w:rsidR="00A55223">
        <w:t>oral infections and 2 were related to dental health.</w:t>
      </w:r>
    </w:p>
    <w:p w:rsidR="00D70818" w:rsidRDefault="00D70818" w:rsidP="00D70818"/>
    <w:p w:rsidR="00D70818" w:rsidRDefault="00D70818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6E1573" w:rsidRDefault="006E1573" w:rsidP="00D70818"/>
    <w:p w:rsidR="00427D1B" w:rsidRDefault="00427D1B" w:rsidP="00D70818"/>
    <w:p w:rsidR="00427D1B" w:rsidRDefault="00427D1B" w:rsidP="00D70818"/>
    <w:p w:rsidR="00427D1B" w:rsidRDefault="00427D1B" w:rsidP="00D70818"/>
    <w:p w:rsidR="00427D1B" w:rsidRDefault="00427D1B" w:rsidP="00D70818"/>
    <w:p w:rsidR="006E1573" w:rsidRDefault="006E1573" w:rsidP="00D70818"/>
    <w:p w:rsidR="006E1573" w:rsidRDefault="006E1573" w:rsidP="00D70818"/>
    <w:p w:rsidR="006E1573" w:rsidRDefault="006E1573" w:rsidP="00D70818"/>
    <w:p w:rsidR="00D70818" w:rsidRPr="00646673" w:rsidRDefault="00D70818" w:rsidP="00D70818">
      <w:pPr>
        <w:rPr>
          <w:rFonts w:ascii="Calibri" w:hAnsi="Calibri"/>
          <w:b/>
        </w:rPr>
      </w:pPr>
      <w:r w:rsidRPr="00027301">
        <w:rPr>
          <w:b/>
          <w:sz w:val="24"/>
        </w:rPr>
        <w:t>4.0</w:t>
      </w:r>
      <w:r>
        <w:rPr>
          <w:b/>
        </w:rPr>
        <w:tab/>
      </w:r>
      <w:r w:rsidRPr="00881F7F">
        <w:rPr>
          <w:b/>
          <w:sz w:val="24"/>
        </w:rPr>
        <w:t xml:space="preserve">Shoreham Village </w:t>
      </w:r>
      <w:r w:rsidR="000D12E5" w:rsidRPr="00881F7F">
        <w:rPr>
          <w:b/>
          <w:sz w:val="24"/>
        </w:rPr>
        <w:t xml:space="preserve">- </w:t>
      </w:r>
      <w:r w:rsidRPr="00881F7F">
        <w:rPr>
          <w:b/>
          <w:sz w:val="24"/>
        </w:rPr>
        <w:t>Hand Hygiene Report – Q</w:t>
      </w:r>
      <w:r w:rsidR="00EF7D9B">
        <w:rPr>
          <w:b/>
          <w:sz w:val="24"/>
        </w:rPr>
        <w:t>2</w:t>
      </w:r>
      <w:r w:rsidRPr="00881F7F">
        <w:rPr>
          <w:b/>
          <w:sz w:val="24"/>
        </w:rPr>
        <w:t xml:space="preserve"> </w:t>
      </w:r>
      <w:r w:rsidR="00EF7D9B">
        <w:rPr>
          <w:b/>
          <w:sz w:val="24"/>
        </w:rPr>
        <w:t>July</w:t>
      </w:r>
      <w:r w:rsidR="00316133" w:rsidRPr="00881F7F">
        <w:rPr>
          <w:b/>
          <w:sz w:val="24"/>
        </w:rPr>
        <w:t xml:space="preserve"> </w:t>
      </w:r>
      <w:r w:rsidRPr="00881F7F">
        <w:rPr>
          <w:b/>
          <w:sz w:val="24"/>
        </w:rPr>
        <w:t xml:space="preserve">– </w:t>
      </w:r>
      <w:r w:rsidR="00EF7D9B">
        <w:rPr>
          <w:b/>
          <w:sz w:val="24"/>
        </w:rPr>
        <w:t>Sept</w:t>
      </w:r>
      <w:r w:rsidR="002768AC">
        <w:rPr>
          <w:b/>
          <w:sz w:val="24"/>
        </w:rPr>
        <w:t xml:space="preserve"> </w:t>
      </w:r>
      <w:r w:rsidR="00D865FD">
        <w:rPr>
          <w:b/>
          <w:sz w:val="24"/>
        </w:rPr>
        <w:t>2021/22</w:t>
      </w:r>
    </w:p>
    <w:p w:rsidR="00D70818" w:rsidRDefault="00D70818" w:rsidP="00D70818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880"/>
        <w:gridCol w:w="1417"/>
        <w:gridCol w:w="1620"/>
        <w:gridCol w:w="1620"/>
        <w:gridCol w:w="1710"/>
      </w:tblGrid>
      <w:tr w:rsidR="00D70818" w:rsidTr="002A3CF7">
        <w:tc>
          <w:tcPr>
            <w:tcW w:w="2880" w:type="dxa"/>
          </w:tcPr>
          <w:p w:rsidR="00D70818" w:rsidRPr="00D12732" w:rsidRDefault="00D70818" w:rsidP="002A3CF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Results</w:t>
            </w:r>
          </w:p>
        </w:tc>
        <w:tc>
          <w:tcPr>
            <w:tcW w:w="1417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Q1</w:t>
            </w:r>
          </w:p>
        </w:tc>
        <w:tc>
          <w:tcPr>
            <w:tcW w:w="1620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Q2</w:t>
            </w:r>
          </w:p>
        </w:tc>
        <w:tc>
          <w:tcPr>
            <w:tcW w:w="1620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Q3</w:t>
            </w:r>
          </w:p>
        </w:tc>
        <w:tc>
          <w:tcPr>
            <w:tcW w:w="1710" w:type="dxa"/>
          </w:tcPr>
          <w:p w:rsidR="00D7081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Q4</w:t>
            </w: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Staff  Audited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 Opportunities Observed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457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</w:t>
            </w: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Opportunities Met 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433</w:t>
            </w:r>
            <w:r w:rsidR="002A3CF7">
              <w:rPr>
                <w:rFonts w:ascii="Calibri" w:hAnsi="Calibri"/>
              </w:rPr>
              <w:t xml:space="preserve"> (9</w:t>
            </w:r>
            <w:r>
              <w:rPr>
                <w:rFonts w:ascii="Calibri" w:hAnsi="Calibri"/>
              </w:rPr>
              <w:t>4.7</w:t>
            </w:r>
            <w:r w:rsidR="002A3CF7">
              <w:rPr>
                <w:rFonts w:ascii="Calibri" w:hAnsi="Calibri"/>
              </w:rPr>
              <w:t>%)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378(95.7%)</w:t>
            </w: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Opportunities Missed</w:t>
            </w:r>
          </w:p>
        </w:tc>
        <w:tc>
          <w:tcPr>
            <w:tcW w:w="1417" w:type="dxa"/>
          </w:tcPr>
          <w:p w:rsidR="002A3CF7" w:rsidRDefault="002A3CF7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506351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(</w:t>
            </w:r>
            <w:r w:rsidR="00506351">
              <w:rPr>
                <w:rFonts w:ascii="Calibri" w:hAnsi="Calibri"/>
              </w:rPr>
              <w:t>5.3</w:t>
            </w:r>
            <w:r>
              <w:rPr>
                <w:rFonts w:ascii="Calibri" w:hAnsi="Calibri"/>
              </w:rPr>
              <w:t>%)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17(4.3%)</w:t>
            </w: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</w:tbl>
    <w:p w:rsidR="00D70818" w:rsidRDefault="00D70818" w:rsidP="00D70818">
      <w:pPr>
        <w:jc w:val="both"/>
        <w:rPr>
          <w:rFonts w:ascii="Calibri" w:hAnsi="Calibri"/>
          <w:sz w:val="20"/>
          <w:szCs w:val="20"/>
        </w:rPr>
      </w:pPr>
    </w:p>
    <w:p w:rsidR="002F35D7" w:rsidRDefault="002F35D7" w:rsidP="00D70818">
      <w:pPr>
        <w:jc w:val="both"/>
        <w:rPr>
          <w:rFonts w:ascii="Calibri" w:hAnsi="Calibri"/>
          <w:sz w:val="20"/>
          <w:szCs w:val="20"/>
        </w:rPr>
      </w:pPr>
    </w:p>
    <w:p w:rsidR="002F35D7" w:rsidRPr="00C92968" w:rsidRDefault="002F35D7" w:rsidP="00D70818">
      <w:pPr>
        <w:jc w:val="both"/>
        <w:rPr>
          <w:rFonts w:ascii="Calibri" w:hAnsi="Calibri"/>
          <w:sz w:val="20"/>
          <w:szCs w:val="20"/>
        </w:rPr>
      </w:pPr>
      <w:r w:rsidRPr="00E964A8">
        <w:rPr>
          <w:noProof/>
          <w:bdr w:val="single" w:sz="6" w:space="0" w:color="auto"/>
          <w:lang w:val="en-CA" w:eastAsia="en-CA"/>
        </w:rPr>
        <w:drawing>
          <wp:inline distT="0" distB="0" distL="0" distR="0">
            <wp:extent cx="6099810" cy="3135085"/>
            <wp:effectExtent l="0" t="0" r="1524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0818" w:rsidRPr="0062323A" w:rsidRDefault="005B5C4A" w:rsidP="00D70818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>C</w:t>
      </w:r>
      <w:r w:rsidR="00D70818" w:rsidRPr="0062323A">
        <w:rPr>
          <w:rFonts w:ascii="Calibri" w:hAnsi="Calibri"/>
          <w:b/>
          <w:noProof/>
          <w:szCs w:val="22"/>
        </w:rPr>
        <w:t>omments:</w:t>
      </w:r>
    </w:p>
    <w:p w:rsidR="00D70818" w:rsidRDefault="00D70818" w:rsidP="00D70818">
      <w:pPr>
        <w:jc w:val="center"/>
        <w:rPr>
          <w:rFonts w:ascii="Calibri" w:hAnsi="Calibri"/>
          <w:noProof/>
          <w:szCs w:val="22"/>
        </w:rPr>
      </w:pPr>
    </w:p>
    <w:p w:rsidR="003F49EC" w:rsidRDefault="008D3D7A" w:rsidP="003F49EC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Areas for improvement include:</w:t>
      </w:r>
    </w:p>
    <w:p w:rsidR="00CA1CEB" w:rsidRDefault="00CA1CEB" w:rsidP="003F49EC">
      <w:pPr>
        <w:jc w:val="both"/>
        <w:rPr>
          <w:color w:val="000000"/>
          <w:szCs w:val="22"/>
        </w:rPr>
      </w:pPr>
      <w:r>
        <w:rPr>
          <w:rFonts w:ascii="Calibri" w:hAnsi="Calibri"/>
          <w:szCs w:val="22"/>
        </w:rPr>
        <w:t>Hand Hygiene between p</w:t>
      </w:r>
      <w:r w:rsidRPr="00CA1CEB">
        <w:rPr>
          <w:rFonts w:ascii="Calibri" w:hAnsi="Calibri"/>
          <w:szCs w:val="22"/>
        </w:rPr>
        <w:t>rocedures</w:t>
      </w:r>
      <w:r>
        <w:rPr>
          <w:color w:val="000000"/>
          <w:szCs w:val="22"/>
        </w:rPr>
        <w:t xml:space="preserve"> on the same resident scored 79%.  This was noted for CCAs and LPNs and will be reviewed at nursing staff meetings.</w:t>
      </w: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9D3FA0" w:rsidRPr="00646673" w:rsidRDefault="009D3FA0" w:rsidP="009D3FA0">
      <w:pPr>
        <w:rPr>
          <w:rFonts w:ascii="Calibri" w:hAnsi="Calibri"/>
          <w:b/>
        </w:rPr>
      </w:pPr>
      <w:r>
        <w:rPr>
          <w:b/>
          <w:sz w:val="24"/>
        </w:rPr>
        <w:t>5</w:t>
      </w:r>
      <w:r w:rsidRPr="00027301">
        <w:rPr>
          <w:b/>
          <w:sz w:val="24"/>
        </w:rPr>
        <w:t>.0</w:t>
      </w:r>
      <w:r>
        <w:rPr>
          <w:b/>
        </w:rPr>
        <w:tab/>
      </w:r>
      <w:r w:rsidRPr="00881F7F">
        <w:rPr>
          <w:b/>
          <w:sz w:val="24"/>
        </w:rPr>
        <w:t xml:space="preserve">Shoreham Village - </w:t>
      </w:r>
      <w:r>
        <w:rPr>
          <w:b/>
          <w:sz w:val="24"/>
        </w:rPr>
        <w:t>Volunteer</w:t>
      </w:r>
      <w:r w:rsidRPr="00881F7F">
        <w:rPr>
          <w:b/>
          <w:sz w:val="24"/>
        </w:rPr>
        <w:t xml:space="preserve"> Report – Q</w:t>
      </w:r>
      <w:r>
        <w:rPr>
          <w:b/>
          <w:sz w:val="24"/>
        </w:rPr>
        <w:t xml:space="preserve">1 </w:t>
      </w:r>
      <w:r w:rsidR="003F49EC">
        <w:rPr>
          <w:b/>
          <w:sz w:val="24"/>
        </w:rPr>
        <w:t xml:space="preserve">July – September </w:t>
      </w:r>
      <w:r>
        <w:rPr>
          <w:b/>
          <w:sz w:val="24"/>
        </w:rPr>
        <w:t>2021/22</w:t>
      </w:r>
      <w:r w:rsidR="003F49EC">
        <w:rPr>
          <w:b/>
          <w:sz w:val="24"/>
        </w:rPr>
        <w:t xml:space="preserve"> </w:t>
      </w:r>
    </w:p>
    <w:p w:rsidR="009D3FA0" w:rsidRDefault="009D3FA0" w:rsidP="009D3FA0">
      <w:pPr>
        <w:jc w:val="both"/>
        <w:rPr>
          <w:rFonts w:ascii="Calibri" w:hAnsi="Calibri"/>
          <w:szCs w:val="22"/>
        </w:rPr>
      </w:pPr>
    </w:p>
    <w:p w:rsidR="009D3FA0" w:rsidRDefault="009D3FA0" w:rsidP="009D3FA0">
      <w:r>
        <w:rPr>
          <w:noProof/>
          <w:lang w:val="en-CA" w:eastAsia="en-CA"/>
        </w:rPr>
        <w:drawing>
          <wp:inline distT="0" distB="0" distL="0" distR="0" wp14:anchorId="731DCE3C" wp14:editId="597DBDD2">
            <wp:extent cx="6223000" cy="3086100"/>
            <wp:effectExtent l="0" t="0" r="635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3FA0" w:rsidRDefault="009D3FA0" w:rsidP="009D3FA0"/>
    <w:p w:rsidR="005029B2" w:rsidRPr="0062323A" w:rsidRDefault="005029B2" w:rsidP="005029B2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>C</w:t>
      </w:r>
      <w:r w:rsidRPr="0062323A">
        <w:rPr>
          <w:rFonts w:ascii="Calibri" w:hAnsi="Calibri"/>
          <w:b/>
          <w:noProof/>
          <w:szCs w:val="22"/>
        </w:rPr>
        <w:t>omments:</w:t>
      </w:r>
    </w:p>
    <w:p w:rsidR="005029B2" w:rsidRDefault="005029B2" w:rsidP="009D3FA0"/>
    <w:p w:rsidR="003F49EC" w:rsidRPr="0027660C" w:rsidRDefault="003F49EC" w:rsidP="003F49EC">
      <w:pPr>
        <w:rPr>
          <w:rFonts w:cs="Arial"/>
          <w:b/>
          <w:sz w:val="24"/>
        </w:rPr>
      </w:pPr>
      <w:r w:rsidRPr="0027660C">
        <w:rPr>
          <w:rFonts w:cs="Arial"/>
          <w:b/>
          <w:sz w:val="24"/>
        </w:rPr>
        <w:t>Volunteer Recruitment, Training and Retention</w:t>
      </w:r>
    </w:p>
    <w:p w:rsidR="003F49EC" w:rsidRDefault="003F49EC" w:rsidP="009D3FA0"/>
    <w:p w:rsidR="003F49EC" w:rsidRDefault="003F49EC" w:rsidP="003F49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With recently lifted Covid 19 restrictions, volunteers have been back returned to Shoreham. Communication continues to be maintained through email, social media and verbal communications with volunteers. </w:t>
      </w:r>
    </w:p>
    <w:p w:rsidR="003F49EC" w:rsidRDefault="003F49EC" w:rsidP="003F49EC">
      <w:pPr>
        <w:rPr>
          <w:rFonts w:ascii="Arial" w:hAnsi="Arial" w:cs="Arial"/>
          <w:sz w:val="18"/>
          <w:szCs w:val="18"/>
        </w:rPr>
      </w:pPr>
    </w:p>
    <w:p w:rsidR="003F49EC" w:rsidRPr="001E3A78" w:rsidRDefault="003F49EC" w:rsidP="003F49EC">
      <w:pPr>
        <w:rPr>
          <w:rFonts w:cs="Arial"/>
          <w:b/>
          <w:sz w:val="24"/>
        </w:rPr>
      </w:pPr>
      <w:r w:rsidRPr="001E3A78">
        <w:rPr>
          <w:rFonts w:cs="Arial"/>
          <w:b/>
          <w:sz w:val="24"/>
        </w:rPr>
        <w:t>Steady or Growing volunteer base</w:t>
      </w:r>
    </w:p>
    <w:p w:rsidR="003F49EC" w:rsidRDefault="003F49EC" w:rsidP="003F49EC">
      <w:pPr>
        <w:rPr>
          <w:rFonts w:ascii="Arial" w:hAnsi="Arial" w:cs="Arial"/>
          <w:sz w:val="18"/>
          <w:szCs w:val="18"/>
        </w:rPr>
      </w:pPr>
    </w:p>
    <w:p w:rsidR="003F49EC" w:rsidRPr="001E3A78" w:rsidRDefault="003F49EC" w:rsidP="003F49EC">
      <w:pPr>
        <w:rPr>
          <w:rFonts w:cs="Arial"/>
        </w:rPr>
      </w:pPr>
      <w:r>
        <w:rPr>
          <w:rFonts w:ascii="Arial" w:hAnsi="Arial" w:cs="Arial"/>
          <w:sz w:val="18"/>
          <w:szCs w:val="18"/>
        </w:rPr>
        <w:t>There have been 6 volunteers retired from volunteering.  Shoreham Village recruited 6 new volunteers, to maintain consistent numbers</w:t>
      </w:r>
      <w:r>
        <w:rPr>
          <w:rFonts w:cs="Arial"/>
          <w:szCs w:val="22"/>
        </w:rPr>
        <w:t xml:space="preserve">. </w:t>
      </w:r>
    </w:p>
    <w:sectPr w:rsidR="003F49EC" w:rsidRPr="001E3A78" w:rsidSect="007D2620">
      <w:headerReference w:type="default" r:id="rId17"/>
      <w:footerReference w:type="default" r:id="rId18"/>
      <w:pgSz w:w="12240" w:h="15840"/>
      <w:pgMar w:top="630" w:right="1440" w:bottom="720" w:left="990" w:header="540" w:footer="5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FA" w:rsidRDefault="00276CFA" w:rsidP="001C6404">
      <w:r>
        <w:separator/>
      </w:r>
    </w:p>
  </w:endnote>
  <w:endnote w:type="continuationSeparator" w:id="0">
    <w:p w:rsidR="00276CFA" w:rsidRDefault="00276CFA" w:rsidP="001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563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651" w:rsidRDefault="00F916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B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1651" w:rsidRDefault="00F91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FA" w:rsidRDefault="00276CFA" w:rsidP="001C6404">
      <w:r>
        <w:separator/>
      </w:r>
    </w:p>
  </w:footnote>
  <w:footnote w:type="continuationSeparator" w:id="0">
    <w:p w:rsidR="00276CFA" w:rsidRDefault="00276CFA" w:rsidP="001C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51" w:rsidRPr="00CF1910" w:rsidRDefault="00F91651">
    <w:pPr>
      <w:pStyle w:val="Header"/>
      <w:rPr>
        <w:i/>
        <w:sz w:val="28"/>
        <w:szCs w:val="28"/>
      </w:rPr>
    </w:pPr>
    <w:r w:rsidRPr="00CF1910">
      <w:rPr>
        <w:i/>
        <w:sz w:val="28"/>
        <w:szCs w:val="28"/>
      </w:rPr>
      <w:t>Shoreham Village Resident Care Scorecard</w:t>
    </w:r>
  </w:p>
  <w:p w:rsidR="00F91651" w:rsidRDefault="00F91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0CC"/>
    <w:multiLevelType w:val="hybridMultilevel"/>
    <w:tmpl w:val="138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58AC"/>
    <w:multiLevelType w:val="multilevel"/>
    <w:tmpl w:val="2EFE4CF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1FF532FB"/>
    <w:multiLevelType w:val="hybridMultilevel"/>
    <w:tmpl w:val="FAFE8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7FF8"/>
    <w:multiLevelType w:val="hybridMultilevel"/>
    <w:tmpl w:val="38C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4296"/>
    <w:multiLevelType w:val="hybridMultilevel"/>
    <w:tmpl w:val="795A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79B4"/>
    <w:multiLevelType w:val="hybridMultilevel"/>
    <w:tmpl w:val="9E3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57068"/>
    <w:multiLevelType w:val="hybridMultilevel"/>
    <w:tmpl w:val="22F4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B"/>
    <w:rsid w:val="00001E76"/>
    <w:rsid w:val="00006395"/>
    <w:rsid w:val="0001080C"/>
    <w:rsid w:val="00011193"/>
    <w:rsid w:val="00015F41"/>
    <w:rsid w:val="0002160E"/>
    <w:rsid w:val="000260BD"/>
    <w:rsid w:val="00027301"/>
    <w:rsid w:val="00027A97"/>
    <w:rsid w:val="000501E8"/>
    <w:rsid w:val="0005139C"/>
    <w:rsid w:val="00055044"/>
    <w:rsid w:val="00055640"/>
    <w:rsid w:val="0005661E"/>
    <w:rsid w:val="0006339A"/>
    <w:rsid w:val="000844CD"/>
    <w:rsid w:val="00086FB9"/>
    <w:rsid w:val="00087BCB"/>
    <w:rsid w:val="000A1814"/>
    <w:rsid w:val="000A4A87"/>
    <w:rsid w:val="000A5242"/>
    <w:rsid w:val="000A6825"/>
    <w:rsid w:val="000B617F"/>
    <w:rsid w:val="000C2076"/>
    <w:rsid w:val="000D12E5"/>
    <w:rsid w:val="000D67FC"/>
    <w:rsid w:val="000D705B"/>
    <w:rsid w:val="000F7DC4"/>
    <w:rsid w:val="001121A0"/>
    <w:rsid w:val="00113AEC"/>
    <w:rsid w:val="00114B4A"/>
    <w:rsid w:val="001206C5"/>
    <w:rsid w:val="00122916"/>
    <w:rsid w:val="00124BEE"/>
    <w:rsid w:val="001253A1"/>
    <w:rsid w:val="00134B14"/>
    <w:rsid w:val="00134C02"/>
    <w:rsid w:val="001421F3"/>
    <w:rsid w:val="00144FB8"/>
    <w:rsid w:val="00145336"/>
    <w:rsid w:val="00145ABC"/>
    <w:rsid w:val="00147D37"/>
    <w:rsid w:val="00151BC2"/>
    <w:rsid w:val="00151E13"/>
    <w:rsid w:val="0016425D"/>
    <w:rsid w:val="00164F42"/>
    <w:rsid w:val="00172E32"/>
    <w:rsid w:val="001745D1"/>
    <w:rsid w:val="0017649F"/>
    <w:rsid w:val="0019297B"/>
    <w:rsid w:val="00197212"/>
    <w:rsid w:val="001A77C4"/>
    <w:rsid w:val="001C00B9"/>
    <w:rsid w:val="001C6404"/>
    <w:rsid w:val="001D0D53"/>
    <w:rsid w:val="001D4DA3"/>
    <w:rsid w:val="001F29A7"/>
    <w:rsid w:val="00206CFF"/>
    <w:rsid w:val="00212425"/>
    <w:rsid w:val="00216BEA"/>
    <w:rsid w:val="00221FD2"/>
    <w:rsid w:val="00225F74"/>
    <w:rsid w:val="00237C80"/>
    <w:rsid w:val="0024056C"/>
    <w:rsid w:val="00256618"/>
    <w:rsid w:val="00261EFC"/>
    <w:rsid w:val="002622EC"/>
    <w:rsid w:val="00266D36"/>
    <w:rsid w:val="002673C2"/>
    <w:rsid w:val="00273CBD"/>
    <w:rsid w:val="002768AC"/>
    <w:rsid w:val="00276CFA"/>
    <w:rsid w:val="002802F2"/>
    <w:rsid w:val="0028577C"/>
    <w:rsid w:val="002958B0"/>
    <w:rsid w:val="002A0737"/>
    <w:rsid w:val="002A3CF7"/>
    <w:rsid w:val="002B1277"/>
    <w:rsid w:val="002C1405"/>
    <w:rsid w:val="002C178F"/>
    <w:rsid w:val="002C526D"/>
    <w:rsid w:val="002C7B33"/>
    <w:rsid w:val="002D389D"/>
    <w:rsid w:val="002D56AD"/>
    <w:rsid w:val="002E4C65"/>
    <w:rsid w:val="002E762B"/>
    <w:rsid w:val="002F35D7"/>
    <w:rsid w:val="00303213"/>
    <w:rsid w:val="003056B5"/>
    <w:rsid w:val="003120D1"/>
    <w:rsid w:val="003141E3"/>
    <w:rsid w:val="00315836"/>
    <w:rsid w:val="00316133"/>
    <w:rsid w:val="00316150"/>
    <w:rsid w:val="00333940"/>
    <w:rsid w:val="00335325"/>
    <w:rsid w:val="0034126B"/>
    <w:rsid w:val="00342822"/>
    <w:rsid w:val="00342CED"/>
    <w:rsid w:val="00357201"/>
    <w:rsid w:val="0036270C"/>
    <w:rsid w:val="003653F0"/>
    <w:rsid w:val="00390E27"/>
    <w:rsid w:val="003A0B71"/>
    <w:rsid w:val="003A2481"/>
    <w:rsid w:val="003A274E"/>
    <w:rsid w:val="003A5907"/>
    <w:rsid w:val="003B3F66"/>
    <w:rsid w:val="003C133E"/>
    <w:rsid w:val="003E1E41"/>
    <w:rsid w:val="003E43F3"/>
    <w:rsid w:val="003E57E2"/>
    <w:rsid w:val="003F49EC"/>
    <w:rsid w:val="003F7102"/>
    <w:rsid w:val="00405760"/>
    <w:rsid w:val="004101DC"/>
    <w:rsid w:val="004175E1"/>
    <w:rsid w:val="00421B40"/>
    <w:rsid w:val="00427D1B"/>
    <w:rsid w:val="00433791"/>
    <w:rsid w:val="00435291"/>
    <w:rsid w:val="00437C59"/>
    <w:rsid w:val="00445E9D"/>
    <w:rsid w:val="00452861"/>
    <w:rsid w:val="00462123"/>
    <w:rsid w:val="004623DC"/>
    <w:rsid w:val="00470322"/>
    <w:rsid w:val="00471539"/>
    <w:rsid w:val="00475C1E"/>
    <w:rsid w:val="00481B18"/>
    <w:rsid w:val="00483D2E"/>
    <w:rsid w:val="00485001"/>
    <w:rsid w:val="00486472"/>
    <w:rsid w:val="00491D98"/>
    <w:rsid w:val="004A63A6"/>
    <w:rsid w:val="004A77F3"/>
    <w:rsid w:val="004C17E7"/>
    <w:rsid w:val="004C2D51"/>
    <w:rsid w:val="004C3B92"/>
    <w:rsid w:val="004C7336"/>
    <w:rsid w:val="004E05ED"/>
    <w:rsid w:val="004E2E0E"/>
    <w:rsid w:val="004F2410"/>
    <w:rsid w:val="004F5DBC"/>
    <w:rsid w:val="005029B2"/>
    <w:rsid w:val="005032E8"/>
    <w:rsid w:val="00506351"/>
    <w:rsid w:val="005117EC"/>
    <w:rsid w:val="00511E80"/>
    <w:rsid w:val="00520FF0"/>
    <w:rsid w:val="00527A01"/>
    <w:rsid w:val="005349A3"/>
    <w:rsid w:val="005411A7"/>
    <w:rsid w:val="00543A8B"/>
    <w:rsid w:val="00554218"/>
    <w:rsid w:val="00572DD2"/>
    <w:rsid w:val="00575ED1"/>
    <w:rsid w:val="005833AB"/>
    <w:rsid w:val="005855D8"/>
    <w:rsid w:val="0059043D"/>
    <w:rsid w:val="005A183F"/>
    <w:rsid w:val="005A2626"/>
    <w:rsid w:val="005A5966"/>
    <w:rsid w:val="005A7F3B"/>
    <w:rsid w:val="005B242C"/>
    <w:rsid w:val="005B5274"/>
    <w:rsid w:val="005B5C4A"/>
    <w:rsid w:val="005B6CBA"/>
    <w:rsid w:val="005B7123"/>
    <w:rsid w:val="005C0AA5"/>
    <w:rsid w:val="005C6AEA"/>
    <w:rsid w:val="005D35B2"/>
    <w:rsid w:val="005F05BB"/>
    <w:rsid w:val="005F22C7"/>
    <w:rsid w:val="005F302A"/>
    <w:rsid w:val="005F5DA0"/>
    <w:rsid w:val="00603293"/>
    <w:rsid w:val="006033F1"/>
    <w:rsid w:val="00620026"/>
    <w:rsid w:val="00633DDB"/>
    <w:rsid w:val="006537D7"/>
    <w:rsid w:val="00662299"/>
    <w:rsid w:val="00664FFC"/>
    <w:rsid w:val="006651F3"/>
    <w:rsid w:val="00666DF4"/>
    <w:rsid w:val="00673301"/>
    <w:rsid w:val="00680BAB"/>
    <w:rsid w:val="006902B7"/>
    <w:rsid w:val="00691D4B"/>
    <w:rsid w:val="00692019"/>
    <w:rsid w:val="00692F36"/>
    <w:rsid w:val="006A1E19"/>
    <w:rsid w:val="006A2058"/>
    <w:rsid w:val="006C58F8"/>
    <w:rsid w:val="006E086A"/>
    <w:rsid w:val="006E1573"/>
    <w:rsid w:val="006F314C"/>
    <w:rsid w:val="007079A9"/>
    <w:rsid w:val="00730E58"/>
    <w:rsid w:val="00735F15"/>
    <w:rsid w:val="007407D3"/>
    <w:rsid w:val="00755211"/>
    <w:rsid w:val="007552D3"/>
    <w:rsid w:val="00757992"/>
    <w:rsid w:val="007672D5"/>
    <w:rsid w:val="0077133C"/>
    <w:rsid w:val="0077356E"/>
    <w:rsid w:val="0077660B"/>
    <w:rsid w:val="007779B1"/>
    <w:rsid w:val="00791BBD"/>
    <w:rsid w:val="00795DD6"/>
    <w:rsid w:val="007A32CB"/>
    <w:rsid w:val="007A725E"/>
    <w:rsid w:val="007A7E7D"/>
    <w:rsid w:val="007C02F8"/>
    <w:rsid w:val="007C57BF"/>
    <w:rsid w:val="007D2620"/>
    <w:rsid w:val="007D64B6"/>
    <w:rsid w:val="007D7CDF"/>
    <w:rsid w:val="007E19A1"/>
    <w:rsid w:val="007E6268"/>
    <w:rsid w:val="00807005"/>
    <w:rsid w:val="008106E1"/>
    <w:rsid w:val="008158AA"/>
    <w:rsid w:val="0082331B"/>
    <w:rsid w:val="00824EE2"/>
    <w:rsid w:val="00826FFE"/>
    <w:rsid w:val="0084011E"/>
    <w:rsid w:val="0084565D"/>
    <w:rsid w:val="0085118F"/>
    <w:rsid w:val="008537FE"/>
    <w:rsid w:val="00855DDD"/>
    <w:rsid w:val="00862528"/>
    <w:rsid w:val="008711CA"/>
    <w:rsid w:val="0087268C"/>
    <w:rsid w:val="0087574E"/>
    <w:rsid w:val="00881F7F"/>
    <w:rsid w:val="008840B2"/>
    <w:rsid w:val="00890802"/>
    <w:rsid w:val="00891EDF"/>
    <w:rsid w:val="008A13FC"/>
    <w:rsid w:val="008A3793"/>
    <w:rsid w:val="008A4D31"/>
    <w:rsid w:val="008B189A"/>
    <w:rsid w:val="008B2FE9"/>
    <w:rsid w:val="008B5A9E"/>
    <w:rsid w:val="008D3B96"/>
    <w:rsid w:val="008D3D7A"/>
    <w:rsid w:val="008D5EA6"/>
    <w:rsid w:val="008D69E6"/>
    <w:rsid w:val="008E11E7"/>
    <w:rsid w:val="008E2913"/>
    <w:rsid w:val="008E5D3E"/>
    <w:rsid w:val="008E6C0F"/>
    <w:rsid w:val="008F0B59"/>
    <w:rsid w:val="008F53A5"/>
    <w:rsid w:val="0090517C"/>
    <w:rsid w:val="0092395D"/>
    <w:rsid w:val="00936BEA"/>
    <w:rsid w:val="0094473E"/>
    <w:rsid w:val="00947E0D"/>
    <w:rsid w:val="00965DA1"/>
    <w:rsid w:val="00965EBE"/>
    <w:rsid w:val="00966716"/>
    <w:rsid w:val="009834D6"/>
    <w:rsid w:val="00983935"/>
    <w:rsid w:val="0098469E"/>
    <w:rsid w:val="009848F5"/>
    <w:rsid w:val="00987258"/>
    <w:rsid w:val="009901F9"/>
    <w:rsid w:val="00990981"/>
    <w:rsid w:val="009A15DB"/>
    <w:rsid w:val="009A4D68"/>
    <w:rsid w:val="009A753B"/>
    <w:rsid w:val="009A7AD1"/>
    <w:rsid w:val="009B2164"/>
    <w:rsid w:val="009C40EC"/>
    <w:rsid w:val="009C5733"/>
    <w:rsid w:val="009D0E25"/>
    <w:rsid w:val="009D3FA0"/>
    <w:rsid w:val="009D423A"/>
    <w:rsid w:val="009F061E"/>
    <w:rsid w:val="00A04DB1"/>
    <w:rsid w:val="00A05A74"/>
    <w:rsid w:val="00A07C63"/>
    <w:rsid w:val="00A14046"/>
    <w:rsid w:val="00A335D1"/>
    <w:rsid w:val="00A3371A"/>
    <w:rsid w:val="00A3556A"/>
    <w:rsid w:val="00A36E58"/>
    <w:rsid w:val="00A37CAB"/>
    <w:rsid w:val="00A46228"/>
    <w:rsid w:val="00A5141A"/>
    <w:rsid w:val="00A53D0F"/>
    <w:rsid w:val="00A54C55"/>
    <w:rsid w:val="00A55223"/>
    <w:rsid w:val="00A61FAD"/>
    <w:rsid w:val="00A631F7"/>
    <w:rsid w:val="00A66368"/>
    <w:rsid w:val="00A76C74"/>
    <w:rsid w:val="00A82FB4"/>
    <w:rsid w:val="00A839E2"/>
    <w:rsid w:val="00A93FA3"/>
    <w:rsid w:val="00A9520E"/>
    <w:rsid w:val="00A95F73"/>
    <w:rsid w:val="00AA348E"/>
    <w:rsid w:val="00AA42CC"/>
    <w:rsid w:val="00AA6B76"/>
    <w:rsid w:val="00AC3FFF"/>
    <w:rsid w:val="00AC4680"/>
    <w:rsid w:val="00AC5680"/>
    <w:rsid w:val="00AD6E88"/>
    <w:rsid w:val="00AE20EC"/>
    <w:rsid w:val="00B02B1F"/>
    <w:rsid w:val="00B20879"/>
    <w:rsid w:val="00B43F27"/>
    <w:rsid w:val="00B51CA0"/>
    <w:rsid w:val="00B560BE"/>
    <w:rsid w:val="00B567AA"/>
    <w:rsid w:val="00B604E4"/>
    <w:rsid w:val="00B6263D"/>
    <w:rsid w:val="00B67871"/>
    <w:rsid w:val="00B74024"/>
    <w:rsid w:val="00B849EE"/>
    <w:rsid w:val="00BA5693"/>
    <w:rsid w:val="00BC6BAD"/>
    <w:rsid w:val="00BD01FE"/>
    <w:rsid w:val="00BD0FF7"/>
    <w:rsid w:val="00BE065B"/>
    <w:rsid w:val="00BE0E09"/>
    <w:rsid w:val="00BE3064"/>
    <w:rsid w:val="00BE48BB"/>
    <w:rsid w:val="00BF0B2B"/>
    <w:rsid w:val="00BF259C"/>
    <w:rsid w:val="00C05F10"/>
    <w:rsid w:val="00C10A85"/>
    <w:rsid w:val="00C10E5E"/>
    <w:rsid w:val="00C12E20"/>
    <w:rsid w:val="00C247CD"/>
    <w:rsid w:val="00C25386"/>
    <w:rsid w:val="00C30F46"/>
    <w:rsid w:val="00C360C0"/>
    <w:rsid w:val="00C532F8"/>
    <w:rsid w:val="00C57C80"/>
    <w:rsid w:val="00C60C95"/>
    <w:rsid w:val="00C6110C"/>
    <w:rsid w:val="00C62BFD"/>
    <w:rsid w:val="00C704E9"/>
    <w:rsid w:val="00C803C5"/>
    <w:rsid w:val="00C825BC"/>
    <w:rsid w:val="00C82E0F"/>
    <w:rsid w:val="00C911BC"/>
    <w:rsid w:val="00CA1960"/>
    <w:rsid w:val="00CA1CEB"/>
    <w:rsid w:val="00CA219D"/>
    <w:rsid w:val="00CA44BD"/>
    <w:rsid w:val="00CA7A60"/>
    <w:rsid w:val="00CB0259"/>
    <w:rsid w:val="00CB10C7"/>
    <w:rsid w:val="00CB2069"/>
    <w:rsid w:val="00CD4D9E"/>
    <w:rsid w:val="00CD73F5"/>
    <w:rsid w:val="00CE3D0C"/>
    <w:rsid w:val="00CE6167"/>
    <w:rsid w:val="00CE6A7A"/>
    <w:rsid w:val="00CE7A95"/>
    <w:rsid w:val="00CF1910"/>
    <w:rsid w:val="00CF4AE4"/>
    <w:rsid w:val="00D00870"/>
    <w:rsid w:val="00D0099D"/>
    <w:rsid w:val="00D058F2"/>
    <w:rsid w:val="00D10EBE"/>
    <w:rsid w:val="00D12FAE"/>
    <w:rsid w:val="00D14085"/>
    <w:rsid w:val="00D24A78"/>
    <w:rsid w:val="00D32DCB"/>
    <w:rsid w:val="00D36E35"/>
    <w:rsid w:val="00D36FAC"/>
    <w:rsid w:val="00D44B0E"/>
    <w:rsid w:val="00D44DE1"/>
    <w:rsid w:val="00D50629"/>
    <w:rsid w:val="00D54D50"/>
    <w:rsid w:val="00D56D7A"/>
    <w:rsid w:val="00D70818"/>
    <w:rsid w:val="00D77584"/>
    <w:rsid w:val="00D865FD"/>
    <w:rsid w:val="00D9263D"/>
    <w:rsid w:val="00D94606"/>
    <w:rsid w:val="00DA152B"/>
    <w:rsid w:val="00DB0F32"/>
    <w:rsid w:val="00DB1B97"/>
    <w:rsid w:val="00DB35D1"/>
    <w:rsid w:val="00DB6A72"/>
    <w:rsid w:val="00DC07A3"/>
    <w:rsid w:val="00DC3908"/>
    <w:rsid w:val="00DC78A8"/>
    <w:rsid w:val="00DD146A"/>
    <w:rsid w:val="00DD2EE8"/>
    <w:rsid w:val="00DD5AC5"/>
    <w:rsid w:val="00DD6DBC"/>
    <w:rsid w:val="00DE1332"/>
    <w:rsid w:val="00DE1D97"/>
    <w:rsid w:val="00DE2A81"/>
    <w:rsid w:val="00DE7E1D"/>
    <w:rsid w:val="00DF1B4E"/>
    <w:rsid w:val="00DF5D53"/>
    <w:rsid w:val="00E026DB"/>
    <w:rsid w:val="00E035C1"/>
    <w:rsid w:val="00E05E16"/>
    <w:rsid w:val="00E10670"/>
    <w:rsid w:val="00E1071F"/>
    <w:rsid w:val="00E249B6"/>
    <w:rsid w:val="00E4016D"/>
    <w:rsid w:val="00E56A12"/>
    <w:rsid w:val="00E70EC2"/>
    <w:rsid w:val="00E773F0"/>
    <w:rsid w:val="00E964A8"/>
    <w:rsid w:val="00E970B5"/>
    <w:rsid w:val="00EA2CD4"/>
    <w:rsid w:val="00EB2216"/>
    <w:rsid w:val="00EB3245"/>
    <w:rsid w:val="00EC2006"/>
    <w:rsid w:val="00EC41C4"/>
    <w:rsid w:val="00EC751E"/>
    <w:rsid w:val="00ED0395"/>
    <w:rsid w:val="00ED4C09"/>
    <w:rsid w:val="00ED6671"/>
    <w:rsid w:val="00EE3F9E"/>
    <w:rsid w:val="00EE4F15"/>
    <w:rsid w:val="00EE525C"/>
    <w:rsid w:val="00EF229E"/>
    <w:rsid w:val="00EF2C0A"/>
    <w:rsid w:val="00EF2DF8"/>
    <w:rsid w:val="00EF3F41"/>
    <w:rsid w:val="00EF7D9B"/>
    <w:rsid w:val="00F048BA"/>
    <w:rsid w:val="00F10737"/>
    <w:rsid w:val="00F138E3"/>
    <w:rsid w:val="00F23D1F"/>
    <w:rsid w:val="00F270B2"/>
    <w:rsid w:val="00F309AC"/>
    <w:rsid w:val="00F454FE"/>
    <w:rsid w:val="00F47893"/>
    <w:rsid w:val="00F52518"/>
    <w:rsid w:val="00F5331E"/>
    <w:rsid w:val="00F56C76"/>
    <w:rsid w:val="00F623BE"/>
    <w:rsid w:val="00F671C0"/>
    <w:rsid w:val="00F831C7"/>
    <w:rsid w:val="00F905E8"/>
    <w:rsid w:val="00F91651"/>
    <w:rsid w:val="00F92D1D"/>
    <w:rsid w:val="00F92E60"/>
    <w:rsid w:val="00F97D6D"/>
    <w:rsid w:val="00F97E01"/>
    <w:rsid w:val="00FB37D7"/>
    <w:rsid w:val="00FC1CCB"/>
    <w:rsid w:val="00FC369B"/>
    <w:rsid w:val="00FC6ED8"/>
    <w:rsid w:val="00FE14B7"/>
    <w:rsid w:val="00FE240A"/>
    <w:rsid w:val="00FE6473"/>
    <w:rsid w:val="00FF5C4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198C02-EBC6-40B9-9937-3BB4023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0B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37CAB"/>
    <w:pPr>
      <w:outlineLvl w:val="0"/>
    </w:pPr>
    <w:rPr>
      <w:rFonts w:ascii="Calibri" w:eastAsiaTheme="minorEastAsia" w:hAnsi="Calibri" w:cstheme="min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0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A37CAB"/>
    <w:rPr>
      <w:rFonts w:ascii="Calibri" w:eastAsiaTheme="minorEastAsia" w:hAnsi="Calibri"/>
      <w:b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47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404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404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43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Shoreham  Village- Occupancy Rates by Month</a:t>
            </a:r>
            <a:endParaRPr lang="en-US" sz="1200"/>
          </a:p>
          <a:p>
            <a:pPr>
              <a:defRPr/>
            </a:pPr>
            <a:r>
              <a:rPr lang="en-US" sz="1200" b="1" i="0" baseline="0"/>
              <a:t>(Q2 July - Sept 21/22)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Occupancy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0.95499999999999996</c:v>
                </c:pt>
                <c:pt idx="1">
                  <c:v>0.95499999999999996</c:v>
                </c:pt>
                <c:pt idx="2">
                  <c:v>0.92700000000000005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1-4837-9E95-3E8641AEF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19072"/>
        <c:axId val="146064128"/>
      </c:barChart>
      <c:catAx>
        <c:axId val="14601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064128"/>
        <c:crosses val="autoZero"/>
        <c:auto val="1"/>
        <c:lblAlgn val="ctr"/>
        <c:lblOffset val="100"/>
        <c:noMultiLvlLbl val="0"/>
      </c:catAx>
      <c:valAx>
        <c:axId val="146064128"/>
        <c:scaling>
          <c:orientation val="minMax"/>
          <c:max val="1"/>
          <c:min val="0.9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46019072"/>
        <c:crosses val="autoZero"/>
        <c:crossBetween val="between"/>
        <c:majorUnit val="0.05"/>
        <c:minorUnit val="4.0000000000000034E-4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200" b="1" i="0" baseline="0"/>
              <a:t>Shoreham Village - Camparison by Quarter</a:t>
            </a:r>
          </a:p>
          <a:p>
            <a:pPr algn="ctr">
              <a:defRPr/>
            </a:pPr>
            <a:r>
              <a: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2020/21</a:t>
            </a:r>
            <a:r>
              <a:rPr lang="en-US" sz="1200" b="1" i="0" baseline="0"/>
              <a:t> vs 2021/22</a:t>
            </a:r>
          </a:p>
        </c:rich>
      </c:tx>
      <c:layout>
        <c:manualLayout>
          <c:xMode val="edge"/>
          <c:yMode val="edge"/>
          <c:x val="0.2779744459025959"/>
          <c:y val="3.57142857142857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1st Qrt</c:v>
                </c:pt>
                <c:pt idx="1">
                  <c:v>2nd Qrt</c:v>
                </c:pt>
                <c:pt idx="2">
                  <c:v>3rd Qrt</c:v>
                </c:pt>
                <c:pt idx="3">
                  <c:v>4th Qrt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0.96399999999999997</c:v>
                </c:pt>
                <c:pt idx="1">
                  <c:v>0.92449999999999999</c:v>
                </c:pt>
                <c:pt idx="2">
                  <c:v>0.92500000000000004</c:v>
                </c:pt>
                <c:pt idx="3">
                  <c:v>0.91710000000000003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F-493E-8E45-4B05A1192CC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18288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1st Qrt</c:v>
                </c:pt>
                <c:pt idx="1">
                  <c:v>2nd Qrt</c:v>
                </c:pt>
                <c:pt idx="2">
                  <c:v>3rd Qrt</c:v>
                </c:pt>
                <c:pt idx="3">
                  <c:v>4th Qrt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0.93320000000000003</c:v>
                </c:pt>
                <c:pt idx="1">
                  <c:v>0.94569999999999999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5F-493E-8E45-4B05A1192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08320"/>
        <c:axId val="154994176"/>
      </c:barChart>
      <c:catAx>
        <c:axId val="154808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4994176"/>
        <c:crosses val="autoZero"/>
        <c:auto val="1"/>
        <c:lblAlgn val="ctr"/>
        <c:lblOffset val="100"/>
        <c:noMultiLvlLbl val="0"/>
      </c:catAx>
      <c:valAx>
        <c:axId val="154994176"/>
        <c:scaling>
          <c:orientation val="minMax"/>
          <c:max val="1"/>
          <c:min val="0.9"/>
        </c:scaling>
        <c:delete val="0"/>
        <c:axPos val="l"/>
        <c:majorGridlines/>
        <c:minorGridlines/>
        <c:numFmt formatCode="0.00%" sourceLinked="1"/>
        <c:majorTickMark val="none"/>
        <c:minorTickMark val="none"/>
        <c:tickLblPos val="nextTo"/>
        <c:crossAx val="154808320"/>
        <c:crosses val="autoZero"/>
        <c:crossBetween val="between"/>
        <c:majorUnit val="0.05"/>
        <c:minorUnit val="1.0000000000000005E-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 </a:t>
            </a:r>
            <a:r>
              <a:rPr lang="en-US" sz="1400" b="1" i="0" baseline="0">
                <a:effectLst/>
              </a:rPr>
              <a:t>Shoreham Village - </a:t>
            </a:r>
            <a:r>
              <a:rPr lang="en-US" sz="1400" b="1" i="0" u="none" strike="noStrike" baseline="0">
                <a:effectLst/>
              </a:rPr>
              <a:t>Number of Incidents</a:t>
            </a:r>
            <a:endParaRPr lang="en-US" b="1"/>
          </a:p>
        </c:rich>
      </c:tx>
      <c:layout>
        <c:manualLayout>
          <c:xMode val="edge"/>
          <c:yMode val="edge"/>
          <c:x val="0.28627604197877121"/>
          <c:y val="3.73482726423902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20/21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  <c:pt idx="2">
                  <c:v>34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6-4266-9D7B-F189F710A54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50</c:v>
                </c:pt>
                <c:pt idx="2">
                  <c:v>16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66-4266-9D7B-F189F710A54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16</c:v>
                </c:pt>
                <c:pt idx="1">
                  <c:v>49</c:v>
                </c:pt>
                <c:pt idx="2">
                  <c:v>35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66-4266-9D7B-F189F710A54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D166-4266-9D7B-F189F710A54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D166-4266-9D7B-F189F710A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725888"/>
        <c:axId val="176290048"/>
      </c:barChart>
      <c:catAx>
        <c:axId val="16672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290048"/>
        <c:crosses val="autoZero"/>
        <c:auto val="1"/>
        <c:lblAlgn val="ctr"/>
        <c:lblOffset val="100"/>
        <c:noMultiLvlLbl val="0"/>
      </c:catAx>
      <c:valAx>
        <c:axId val="17629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2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Shoreham Village - Resident Incident Rate per 1000 Bed Days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20/21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3.3</c:v>
                </c:pt>
                <c:pt idx="1">
                  <c:v>4.62</c:v>
                </c:pt>
                <c:pt idx="2">
                  <c:v>4.49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4-47E4-865F-444A6FA402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0.79</c:v>
                </c:pt>
                <c:pt idx="1">
                  <c:v>6.62</c:v>
                </c:pt>
                <c:pt idx="2">
                  <c:v>2.11</c:v>
                </c:pt>
                <c:pt idx="3">
                  <c:v>6.09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B4-47E4-865F-444A6FA4021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2.0699999999999998</c:v>
                </c:pt>
                <c:pt idx="1">
                  <c:v>6.33</c:v>
                </c:pt>
                <c:pt idx="2">
                  <c:v>4.5199999999999996</c:v>
                </c:pt>
                <c:pt idx="3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B4-47E4-865F-444A6FA4021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93B4-47E4-865F-444A6FA4021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3B4-47E4-865F-444A6FA4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195712"/>
        <c:axId val="229140352"/>
      </c:barChart>
      <c:catAx>
        <c:axId val="2281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140352"/>
        <c:crosses val="autoZero"/>
        <c:auto val="1"/>
        <c:lblAlgn val="ctr"/>
        <c:lblOffset val="100"/>
        <c:noMultiLvlLbl val="0"/>
      </c:catAx>
      <c:valAx>
        <c:axId val="22914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81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Resident</a:t>
            </a:r>
            <a:r>
              <a:rPr lang="en-US" sz="1200" baseline="0"/>
              <a:t> Infections 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20/21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10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7-493A-AB68-FA8D0BB1A0B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7-493A-AB68-FA8D0BB1A0B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97-493A-AB68-FA8D0BB1A0B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7397-493A-AB68-FA8D0BB1A0B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7397-493A-AB68-FA8D0BB1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317888"/>
        <c:axId val="233543168"/>
      </c:barChart>
      <c:catAx>
        <c:axId val="23131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3543168"/>
        <c:crosses val="autoZero"/>
        <c:auto val="1"/>
        <c:lblAlgn val="ctr"/>
        <c:lblOffset val="100"/>
        <c:noMultiLvlLbl val="0"/>
      </c:catAx>
      <c:valAx>
        <c:axId val="233543168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13178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Infection Rate/</a:t>
            </a:r>
            <a:r>
              <a:rPr lang="en-US" sz="1200" baseline="0"/>
              <a:t>1000 Bed Days</a:t>
            </a:r>
            <a:endParaRPr lang="en-US" sz="1200"/>
          </a:p>
        </c:rich>
      </c:tx>
      <c:layout>
        <c:manualLayout>
          <c:xMode val="edge"/>
          <c:yMode val="edge"/>
          <c:x val="0.25243051349350559"/>
          <c:y val="3.732871190144294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21/22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0.61</c:v>
                </c:pt>
                <c:pt idx="1">
                  <c:v>0.12</c:v>
                </c:pt>
                <c:pt idx="2">
                  <c:v>1.83</c:v>
                </c:pt>
                <c:pt idx="3" formatCode="0.00">
                  <c:v>0</c:v>
                </c:pt>
                <c:pt idx="4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5-4B78-A41C-AF04E04523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0.64</c:v>
                </c:pt>
                <c:pt idx="1">
                  <c:v>0.64</c:v>
                </c:pt>
                <c:pt idx="2">
                  <c:v>1.28</c:v>
                </c:pt>
                <c:pt idx="3" formatCode="0.00">
                  <c:v>0</c:v>
                </c:pt>
                <c:pt idx="4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B5-4B78-A41C-AF04E04523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0.39</c:v>
                </c:pt>
                <c:pt idx="1">
                  <c:v>1.32</c:v>
                </c:pt>
                <c:pt idx="2">
                  <c:v>1.32</c:v>
                </c:pt>
                <c:pt idx="3">
                  <c:v>0.13</c:v>
                </c:pt>
                <c:pt idx="4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B5-4B78-A41C-AF04E04523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E4B5-4B78-A41C-AF04E04523D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E4B5-4B78-A41C-AF04E0452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43904"/>
        <c:axId val="146857984"/>
      </c:barChart>
      <c:catAx>
        <c:axId val="146843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857984"/>
        <c:crosses val="autoZero"/>
        <c:auto val="1"/>
        <c:lblAlgn val="ctr"/>
        <c:lblOffset val="100"/>
        <c:noMultiLvlLbl val="0"/>
      </c:catAx>
      <c:valAx>
        <c:axId val="146857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68439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Hand</a:t>
            </a:r>
            <a:r>
              <a:rPr lang="en-US" sz="1200" baseline="0"/>
              <a:t> Hygiene 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Q2 20/21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pattFill prst="ltDn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0-42FA-4545-946A-AD557E71A10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0.93200000000000005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36-425A-AA76-FB48C433845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0.94699999999999995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36-425A-AA76-FB48C433845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Sheet1!$D$2</c:f>
              <c:numCache>
                <c:formatCode>0.00%</c:formatCode>
                <c:ptCount val="1"/>
                <c:pt idx="0">
                  <c:v>0.95699999999999996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36-425A-AA76-FB48C433845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3-FB36-425A-AA76-FB48C433845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4-FB36-425A-AA76-FB48C4338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172800"/>
        <c:axId val="154701824"/>
      </c:barChart>
      <c:catAx>
        <c:axId val="152172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4701824"/>
        <c:crosses val="autoZero"/>
        <c:auto val="1"/>
        <c:lblAlgn val="ctr"/>
        <c:lblOffset val="100"/>
        <c:noMultiLvlLbl val="0"/>
      </c:catAx>
      <c:valAx>
        <c:axId val="154701824"/>
        <c:scaling>
          <c:orientation val="minMax"/>
          <c:max val="1"/>
          <c:min val="0.8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52172800"/>
        <c:crosses val="autoZero"/>
        <c:crossBetween val="between"/>
        <c:majorUnit val="5.000000000000001E-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 baseline="0">
                <a:solidFill>
                  <a:sysClr val="windowText" lastClr="000000"/>
                </a:solidFill>
              </a:rPr>
              <a:t>Shoreham Village - Volunteers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4266841644794412E-2"/>
          <c:y val="0.14116907261592301"/>
          <c:w val="0.89019685039370144"/>
          <c:h val="0.675028676970934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Number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Sheet1!$A$2:$B$6</c:f>
              <c:strCache>
                <c:ptCount val="4"/>
                <c:pt idx="1">
                  <c:v>Active Volunteers</c:v>
                </c:pt>
                <c:pt idx="2">
                  <c:v>New Volunteers</c:v>
                </c:pt>
                <c:pt idx="3">
                  <c:v>Retired/Inactive Volunteers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143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F0-474E-9349-BCAAD3DE69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2444800"/>
        <c:axId val="162446336"/>
      </c:barChart>
      <c:catAx>
        <c:axId val="1624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6336"/>
        <c:crosses val="autoZero"/>
        <c:auto val="1"/>
        <c:lblAlgn val="ctr"/>
        <c:lblOffset val="100"/>
        <c:noMultiLvlLbl val="0"/>
      </c:catAx>
      <c:valAx>
        <c:axId val="16244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4800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2D3D-C3AC-4D7A-B2CD-90FC3C04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1174</Words>
  <Characters>6695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1.0	Shoreham Village Occupancy Rate Q2 July - Sept 2021/22 </vt:lpstr>
      <vt:lpstr>The Average Occupancy Rate for the Q2 July - Sept 2021/22 – 94.57% (average 4.8 </vt:lpstr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psargenthamer</dc:creator>
  <cp:lastModifiedBy>Tammy Conrad</cp:lastModifiedBy>
  <cp:revision>2</cp:revision>
  <cp:lastPrinted>2018-09-05T02:14:00Z</cp:lastPrinted>
  <dcterms:created xsi:type="dcterms:W3CDTF">2022-01-05T15:53:00Z</dcterms:created>
  <dcterms:modified xsi:type="dcterms:W3CDTF">2022-01-05T15:53:00Z</dcterms:modified>
</cp:coreProperties>
</file>