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81" w:rsidRDefault="00DE2A81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87268C" w:rsidP="0087268C">
      <w:pPr>
        <w:jc w:val="center"/>
        <w:rPr>
          <w:rFonts w:ascii="Calibri" w:hAnsi="Calibri" w:cs="ArialNarrow"/>
          <w:b/>
        </w:rPr>
      </w:pPr>
      <w:r>
        <w:rPr>
          <w:rFonts w:ascii="Calibri" w:hAnsi="Calibri" w:cs="ArialNarrow"/>
          <w:b/>
          <w:noProof/>
          <w:lang w:val="en-CA" w:eastAsia="en-CA"/>
        </w:rPr>
        <w:drawing>
          <wp:inline distT="0" distB="0" distL="0" distR="0">
            <wp:extent cx="4694555" cy="1798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Shoreham Village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Resident Care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Scorecard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</w:p>
    <w:p w:rsidR="00EF2C0A" w:rsidRDefault="004E196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3rd</w:t>
      </w:r>
      <w:r w:rsidR="00D77584">
        <w:rPr>
          <w:rFonts w:ascii="Calibri" w:hAnsi="Calibri" w:cs="ArialNarrow"/>
          <w:b/>
          <w:sz w:val="48"/>
          <w:szCs w:val="48"/>
        </w:rPr>
        <w:t xml:space="preserve"> Quarter 202</w:t>
      </w:r>
      <w:r w:rsidR="00CA219D">
        <w:rPr>
          <w:rFonts w:ascii="Calibri" w:hAnsi="Calibri" w:cs="ArialNarrow"/>
          <w:b/>
          <w:sz w:val="48"/>
          <w:szCs w:val="48"/>
        </w:rPr>
        <w:t>1</w:t>
      </w:r>
      <w:r w:rsidR="00D77584">
        <w:rPr>
          <w:rFonts w:ascii="Calibri" w:hAnsi="Calibri" w:cs="ArialNarrow"/>
          <w:b/>
          <w:sz w:val="48"/>
          <w:szCs w:val="48"/>
        </w:rPr>
        <w:t>/2</w:t>
      </w:r>
      <w:r w:rsidR="00CA219D">
        <w:rPr>
          <w:rFonts w:ascii="Calibri" w:hAnsi="Calibri" w:cs="ArialNarrow"/>
          <w:b/>
          <w:sz w:val="48"/>
          <w:szCs w:val="48"/>
        </w:rPr>
        <w:t>2</w:t>
      </w:r>
    </w:p>
    <w:p w:rsidR="00EF2C0A" w:rsidRDefault="00EF2C0A" w:rsidP="00DE2A81">
      <w:pPr>
        <w:rPr>
          <w:rFonts w:ascii="Calibri" w:hAnsi="Calibri" w:cs="ArialNarrow"/>
          <w:b/>
          <w:sz w:val="48"/>
          <w:szCs w:val="48"/>
        </w:rPr>
      </w:pPr>
    </w:p>
    <w:p w:rsidR="005B5C4A" w:rsidRPr="00EF2C0A" w:rsidRDefault="005B5C4A" w:rsidP="00DE2A81">
      <w:pPr>
        <w:rPr>
          <w:rFonts w:ascii="Calibri" w:hAnsi="Calibri" w:cs="ArialNarrow"/>
          <w:b/>
          <w:sz w:val="48"/>
          <w:szCs w:val="48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C63E7F" w:rsidRDefault="00C63E7F" w:rsidP="00DE2A81">
      <w:pPr>
        <w:rPr>
          <w:rFonts w:ascii="Calibri" w:hAnsi="Calibri" w:cs="ArialNarrow"/>
          <w:b/>
        </w:rPr>
      </w:pP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Occupancy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CF1910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2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Incident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4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Infection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6</w:t>
      </w:r>
    </w:p>
    <w:p w:rsidR="00EF2C0A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Hand Hygiene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6E1573">
        <w:rPr>
          <w:rFonts w:ascii="Calibri" w:hAnsi="Calibri" w:cs="ArialNarrow"/>
          <w:sz w:val="32"/>
          <w:szCs w:val="32"/>
        </w:rPr>
        <w:t>9</w:t>
      </w:r>
    </w:p>
    <w:p w:rsidR="009B2164" w:rsidRPr="00CF1910" w:rsidRDefault="009B2164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Volunteer Rates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 w:rsidR="006E1573">
        <w:rPr>
          <w:rFonts w:ascii="Calibri" w:hAnsi="Calibri" w:cs="ArialNarrow"/>
          <w:sz w:val="32"/>
          <w:szCs w:val="32"/>
        </w:rPr>
        <w:t>10</w:t>
      </w: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5B5C4A" w:rsidRDefault="005B5C4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2958B0" w:rsidP="002958B0">
      <w:pPr>
        <w:tabs>
          <w:tab w:val="left" w:pos="6252"/>
        </w:tabs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ab/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4E05ED" w:rsidRDefault="004E05ED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BE065B" w:rsidRDefault="007C02F8" w:rsidP="00BE065B">
      <w:pPr>
        <w:pStyle w:val="Heading1"/>
      </w:pPr>
      <w:r>
        <w:t>1.0</w:t>
      </w:r>
      <w:r>
        <w:tab/>
      </w:r>
      <w:r w:rsidR="00BE065B">
        <w:t>Shoreham Village Occupancy Rate Q</w:t>
      </w:r>
      <w:r w:rsidR="004E196A">
        <w:t>3</w:t>
      </w:r>
      <w:r w:rsidR="00BE065B">
        <w:t xml:space="preserve"> </w:t>
      </w:r>
      <w:r w:rsidR="004E196A">
        <w:t>Oct</w:t>
      </w:r>
      <w:r w:rsidR="00C82E0F">
        <w:t xml:space="preserve"> </w:t>
      </w:r>
      <w:r w:rsidR="00001E76">
        <w:t xml:space="preserve">- </w:t>
      </w:r>
      <w:r w:rsidR="004E196A">
        <w:t>December</w:t>
      </w:r>
      <w:r w:rsidR="002A3CF7">
        <w:t xml:space="preserve"> 202</w:t>
      </w:r>
      <w:r w:rsidR="00CA219D">
        <w:t>1/22</w:t>
      </w:r>
      <w:r w:rsidR="008B5A9E">
        <w:t xml:space="preserve"> </w:t>
      </w:r>
    </w:p>
    <w:p w:rsidR="00BE065B" w:rsidRDefault="00BE065B" w:rsidP="00BE065B">
      <w:pPr>
        <w:rPr>
          <w:rFonts w:ascii="Calibri" w:hAnsi="Calibri" w:cs="ArialNarrow"/>
          <w:b/>
        </w:rPr>
      </w:pPr>
    </w:p>
    <w:p w:rsidR="00BE065B" w:rsidRDefault="00BE065B" w:rsidP="00881F7F">
      <w:pPr>
        <w:pStyle w:val="Heading1"/>
      </w:pPr>
      <w:r w:rsidRPr="00AE20EC">
        <w:t xml:space="preserve">The Average Occupancy Rate for the </w:t>
      </w:r>
      <w:r w:rsidR="00FE6473">
        <w:t>Q</w:t>
      </w:r>
      <w:r w:rsidR="004E196A">
        <w:t>3</w:t>
      </w:r>
      <w:r w:rsidR="00EF7D9B">
        <w:t xml:space="preserve"> </w:t>
      </w:r>
      <w:r w:rsidR="004E196A">
        <w:t>Oct - Dec</w:t>
      </w:r>
      <w:r w:rsidR="002A3CF7">
        <w:t xml:space="preserve"> 202</w:t>
      </w:r>
      <w:r w:rsidR="00CA219D">
        <w:t>1</w:t>
      </w:r>
      <w:r w:rsidR="002A3CF7">
        <w:t>/2</w:t>
      </w:r>
      <w:r w:rsidR="00CA219D">
        <w:t>2</w:t>
      </w:r>
      <w:r w:rsidR="00FE6473">
        <w:t xml:space="preserve"> </w:t>
      </w:r>
      <w:r w:rsidRPr="00AE20EC">
        <w:t xml:space="preserve">– </w:t>
      </w:r>
      <w:r w:rsidR="00A26CC7">
        <w:t>94.77</w:t>
      </w:r>
      <w:r w:rsidR="0087268C">
        <w:t>%</w:t>
      </w:r>
      <w:r w:rsidR="00881F7F">
        <w:t xml:space="preserve"> (average </w:t>
      </w:r>
      <w:r w:rsidR="00A26CC7">
        <w:t>4.66</w:t>
      </w:r>
      <w:r w:rsidR="0087268C">
        <w:t xml:space="preserve"> </w:t>
      </w:r>
      <w:r w:rsidR="00001E76">
        <w:t>vacant beds per day)</w:t>
      </w:r>
      <w:r w:rsidR="00EF3F41">
        <w:t>.</w:t>
      </w:r>
    </w:p>
    <w:p w:rsidR="00BE065B" w:rsidRDefault="00BE065B" w:rsidP="000260BD">
      <w:pPr>
        <w:rPr>
          <w:rFonts w:ascii="Calibri" w:hAnsi="Calibri" w:cs="ArialNarrow"/>
        </w:rPr>
      </w:pPr>
    </w:p>
    <w:p w:rsidR="00BE065B" w:rsidRDefault="00BE065B" w:rsidP="000260BD">
      <w:pPr>
        <w:rPr>
          <w:rFonts w:ascii="Calibri" w:hAnsi="Calibri" w:cs="ArialNarrow"/>
        </w:rPr>
      </w:pPr>
      <w:r w:rsidRPr="000D12E5">
        <w:rPr>
          <w:rFonts w:ascii="Calibri" w:hAnsi="Calibri" w:cs="ArialNarrow"/>
          <w:noProof/>
          <w:bdr w:val="single" w:sz="6" w:space="0" w:color="auto"/>
          <w:lang w:val="en-CA" w:eastAsia="en-CA"/>
        </w:rPr>
        <w:lastRenderedPageBreak/>
        <w:drawing>
          <wp:inline distT="0" distB="0" distL="0" distR="0">
            <wp:extent cx="6126480" cy="3257550"/>
            <wp:effectExtent l="0" t="0" r="7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65B" w:rsidRDefault="00BE065B" w:rsidP="000260BD">
      <w:pPr>
        <w:rPr>
          <w:rFonts w:ascii="Calibri" w:hAnsi="Calibri" w:cs="ArialNarrow"/>
        </w:rPr>
      </w:pPr>
    </w:p>
    <w:p w:rsidR="006A2058" w:rsidRDefault="006A2058" w:rsidP="000260BD">
      <w:pPr>
        <w:rPr>
          <w:rFonts w:ascii="Calibri" w:hAnsi="Calibri" w:cs="ArialNarrow"/>
        </w:rPr>
      </w:pPr>
      <w:r w:rsidRPr="004C2D51">
        <w:rPr>
          <w:rFonts w:ascii="Calibri" w:hAnsi="Calibri" w:cs="ArialNarrow"/>
          <w:noProof/>
          <w:bdr w:val="single" w:sz="4" w:space="0" w:color="auto"/>
          <w:lang w:val="en-CA" w:eastAsia="en-CA"/>
        </w:rPr>
        <w:drawing>
          <wp:inline distT="0" distB="0" distL="0" distR="0">
            <wp:extent cx="6126480" cy="3267075"/>
            <wp:effectExtent l="0" t="0" r="762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620" w:rsidRDefault="007D2620" w:rsidP="000260BD">
      <w:pPr>
        <w:rPr>
          <w:rFonts w:ascii="Calibri" w:hAnsi="Calibri" w:cs="ArialNarrow"/>
          <w:b/>
        </w:rPr>
      </w:pPr>
    </w:p>
    <w:p w:rsidR="000A4A87" w:rsidRDefault="000A4A87" w:rsidP="000260BD">
      <w:pPr>
        <w:rPr>
          <w:rFonts w:ascii="Calibri" w:hAnsi="Calibri" w:cs="ArialNarrow"/>
          <w:b/>
        </w:rPr>
      </w:pPr>
    </w:p>
    <w:p w:rsidR="003E57E2" w:rsidRDefault="003E57E2" w:rsidP="000260BD">
      <w:pPr>
        <w:rPr>
          <w:rFonts w:ascii="Calibri" w:hAnsi="Calibri" w:cs="ArialNarrow"/>
          <w:b/>
        </w:rPr>
      </w:pPr>
    </w:p>
    <w:p w:rsidR="003E57E2" w:rsidRDefault="003E57E2" w:rsidP="000260BD">
      <w:pPr>
        <w:rPr>
          <w:rFonts w:ascii="Calibri" w:hAnsi="Calibri" w:cs="ArialNarrow"/>
          <w:b/>
        </w:rPr>
      </w:pPr>
    </w:p>
    <w:p w:rsidR="000260BD" w:rsidRPr="00C62BFD" w:rsidRDefault="000260BD" w:rsidP="000260BD">
      <w:pPr>
        <w:rPr>
          <w:rFonts w:ascii="Calibri" w:hAnsi="Calibri" w:cs="ArialNarrow"/>
          <w:b/>
        </w:rPr>
      </w:pPr>
      <w:r w:rsidRPr="00C62BFD">
        <w:rPr>
          <w:rFonts w:ascii="Calibri" w:hAnsi="Calibri" w:cs="ArialNarrow"/>
          <w:b/>
        </w:rPr>
        <w:t>Comments:</w:t>
      </w:r>
    </w:p>
    <w:p w:rsidR="006F314C" w:rsidRDefault="006F314C" w:rsidP="000260BD">
      <w:pPr>
        <w:rPr>
          <w:rFonts w:ascii="Calibri" w:hAnsi="Calibri" w:cs="ArialNarrow"/>
        </w:rPr>
      </w:pPr>
    </w:p>
    <w:p w:rsidR="007A7E7D" w:rsidRDefault="00CF4AE4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lastRenderedPageBreak/>
        <w:t xml:space="preserve">The </w:t>
      </w:r>
      <w:r w:rsidR="00F048BA">
        <w:rPr>
          <w:rFonts w:ascii="Calibri" w:hAnsi="Calibri" w:cs="ArialNarrow"/>
        </w:rPr>
        <w:t xml:space="preserve">DHW target </w:t>
      </w:r>
      <w:r>
        <w:rPr>
          <w:rFonts w:ascii="Calibri" w:hAnsi="Calibri" w:cs="ArialNarrow"/>
        </w:rPr>
        <w:t xml:space="preserve">occupancy rate </w:t>
      </w:r>
      <w:r w:rsidR="001D0D53">
        <w:rPr>
          <w:rFonts w:ascii="Calibri" w:hAnsi="Calibri" w:cs="ArialNarrow"/>
        </w:rPr>
        <w:t xml:space="preserve">for budgeting </w:t>
      </w:r>
      <w:r>
        <w:rPr>
          <w:rFonts w:ascii="Calibri" w:hAnsi="Calibri" w:cs="ArialNarrow"/>
        </w:rPr>
        <w:t>i</w:t>
      </w:r>
      <w:r w:rsidR="00F048BA">
        <w:rPr>
          <w:rFonts w:ascii="Calibri" w:hAnsi="Calibri" w:cs="ArialNarrow"/>
        </w:rPr>
        <w:t>s 99.2%</w:t>
      </w:r>
      <w:r w:rsidR="001D0D53">
        <w:rPr>
          <w:rFonts w:ascii="Calibri" w:hAnsi="Calibri" w:cs="ArialNarrow"/>
        </w:rPr>
        <w:t>. F</w:t>
      </w:r>
      <w:r w:rsidR="00F048BA">
        <w:rPr>
          <w:rFonts w:ascii="Calibri" w:hAnsi="Calibri" w:cs="ArialNarrow"/>
        </w:rPr>
        <w:t xml:space="preserve">or Shoreham Village </w:t>
      </w:r>
      <w:r w:rsidR="001D0D53">
        <w:rPr>
          <w:rFonts w:ascii="Calibri" w:hAnsi="Calibri" w:cs="ArialNarrow"/>
        </w:rPr>
        <w:t xml:space="preserve">this </w:t>
      </w:r>
      <w:r w:rsidR="00F048BA">
        <w:rPr>
          <w:rFonts w:ascii="Calibri" w:hAnsi="Calibri" w:cs="ArialNarrow"/>
        </w:rPr>
        <w:t xml:space="preserve">equates to an average of .7 vacant beds per day.  </w:t>
      </w:r>
    </w:p>
    <w:p w:rsidR="007A7E7D" w:rsidRDefault="007A7E7D" w:rsidP="00CF4AE4">
      <w:pPr>
        <w:rPr>
          <w:rFonts w:ascii="Calibri" w:hAnsi="Calibri" w:cs="ArialNarrow"/>
        </w:rPr>
      </w:pPr>
    </w:p>
    <w:p w:rsidR="009848F5" w:rsidRDefault="001D0D53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This</w:t>
      </w:r>
      <w:r w:rsidR="00F048BA">
        <w:rPr>
          <w:rFonts w:ascii="Calibri" w:hAnsi="Calibri" w:cs="ArialNarrow"/>
        </w:rPr>
        <w:t xml:space="preserve"> quarter</w:t>
      </w:r>
      <w:r w:rsidR="007E6268">
        <w:rPr>
          <w:rFonts w:ascii="Calibri" w:hAnsi="Calibri" w:cs="ArialNarrow"/>
        </w:rPr>
        <w:t xml:space="preserve"> the</w:t>
      </w:r>
      <w:r w:rsidR="00F048BA">
        <w:rPr>
          <w:rFonts w:ascii="Calibri" w:hAnsi="Calibri" w:cs="ArialNarrow"/>
        </w:rPr>
        <w:t xml:space="preserve"> occupancy rate was </w:t>
      </w:r>
      <w:r w:rsidR="00ED6671">
        <w:rPr>
          <w:rFonts w:ascii="Calibri" w:hAnsi="Calibri" w:cs="ArialNarrow"/>
        </w:rPr>
        <w:t>9</w:t>
      </w:r>
      <w:r w:rsidR="001121A0">
        <w:rPr>
          <w:rFonts w:ascii="Calibri" w:hAnsi="Calibri" w:cs="ArialNarrow"/>
        </w:rPr>
        <w:t>4</w:t>
      </w:r>
      <w:r w:rsidR="00ED6671">
        <w:rPr>
          <w:rFonts w:ascii="Calibri" w:hAnsi="Calibri" w:cs="ArialNarrow"/>
        </w:rPr>
        <w:t>.</w:t>
      </w:r>
      <w:r w:rsidR="0077397D">
        <w:rPr>
          <w:rFonts w:ascii="Calibri" w:hAnsi="Calibri" w:cs="ArialNarrow"/>
        </w:rPr>
        <w:t>77</w:t>
      </w:r>
      <w:r w:rsidR="00ED6671">
        <w:rPr>
          <w:rFonts w:ascii="Calibri" w:hAnsi="Calibri" w:cs="ArialNarrow"/>
        </w:rPr>
        <w:t>% (</w:t>
      </w:r>
      <w:r w:rsidR="001121A0">
        <w:rPr>
          <w:rFonts w:ascii="Calibri" w:hAnsi="Calibri" w:cs="ArialNarrow"/>
        </w:rPr>
        <w:t>4</w:t>
      </w:r>
      <w:r w:rsidR="0077397D">
        <w:rPr>
          <w:rFonts w:ascii="Calibri" w:hAnsi="Calibri" w:cs="ArialNarrow"/>
        </w:rPr>
        <w:t>.66</w:t>
      </w:r>
      <w:r w:rsidR="002622EC">
        <w:rPr>
          <w:rFonts w:ascii="Calibri" w:hAnsi="Calibri" w:cs="ArialNarrow"/>
        </w:rPr>
        <w:t xml:space="preserve"> </w:t>
      </w:r>
      <w:r w:rsidR="00DE1D97">
        <w:rPr>
          <w:rFonts w:ascii="Calibri" w:hAnsi="Calibri" w:cs="ArialNarrow"/>
        </w:rPr>
        <w:t>average vacant beds per day)</w:t>
      </w:r>
      <w:r w:rsidR="00F048BA">
        <w:rPr>
          <w:rFonts w:ascii="Calibri" w:hAnsi="Calibri" w:cs="ArialNarrow"/>
        </w:rPr>
        <w:t xml:space="preserve">.  The </w:t>
      </w:r>
      <w:r w:rsidR="000A4A87">
        <w:rPr>
          <w:rFonts w:ascii="Calibri" w:hAnsi="Calibri" w:cs="ArialNarrow"/>
        </w:rPr>
        <w:t xml:space="preserve">rate is </w:t>
      </w:r>
      <w:r w:rsidR="001121A0">
        <w:rPr>
          <w:rFonts w:ascii="Calibri" w:hAnsi="Calibri" w:cs="ArialNarrow"/>
        </w:rPr>
        <w:t>increased over t</w:t>
      </w:r>
      <w:r w:rsidR="0077397D">
        <w:rPr>
          <w:rFonts w:ascii="Calibri" w:hAnsi="Calibri" w:cs="ArialNarrow"/>
        </w:rPr>
        <w:t>he 2</w:t>
      </w:r>
      <w:r w:rsidR="0077397D" w:rsidRPr="0077397D">
        <w:rPr>
          <w:rFonts w:ascii="Calibri" w:hAnsi="Calibri" w:cs="ArialNarrow"/>
          <w:vertAlign w:val="superscript"/>
        </w:rPr>
        <w:t>nd</w:t>
      </w:r>
      <w:r w:rsidR="0077397D">
        <w:rPr>
          <w:rFonts w:ascii="Calibri" w:hAnsi="Calibri" w:cs="ArialNarrow"/>
        </w:rPr>
        <w:t xml:space="preserve"> </w:t>
      </w:r>
      <w:r w:rsidR="00ED6671">
        <w:rPr>
          <w:rFonts w:ascii="Calibri" w:hAnsi="Calibri" w:cs="ArialNarrow"/>
        </w:rPr>
        <w:t>quarter of 20</w:t>
      </w:r>
      <w:r w:rsidR="001121A0">
        <w:rPr>
          <w:rFonts w:ascii="Calibri" w:hAnsi="Calibri" w:cs="ArialNarrow"/>
        </w:rPr>
        <w:t>21</w:t>
      </w:r>
      <w:r w:rsidR="00ED6671">
        <w:rPr>
          <w:rFonts w:ascii="Calibri" w:hAnsi="Calibri" w:cs="ArialNarrow"/>
        </w:rPr>
        <w:t>/2</w:t>
      </w:r>
      <w:r w:rsidR="001121A0">
        <w:rPr>
          <w:rFonts w:ascii="Calibri" w:hAnsi="Calibri" w:cs="ArialNarrow"/>
        </w:rPr>
        <w:t>2</w:t>
      </w:r>
      <w:r w:rsidR="00ED6671">
        <w:rPr>
          <w:rFonts w:ascii="Calibri" w:hAnsi="Calibri" w:cs="ArialNarrow"/>
        </w:rPr>
        <w:t xml:space="preserve"> </w:t>
      </w:r>
      <w:r w:rsidR="0077397D">
        <w:rPr>
          <w:rFonts w:ascii="Calibri" w:hAnsi="Calibri" w:cs="ArialNarrow"/>
        </w:rPr>
        <w:t>(94.57</w:t>
      </w:r>
      <w:r w:rsidR="001121A0">
        <w:rPr>
          <w:rFonts w:ascii="Calibri" w:hAnsi="Calibri" w:cs="ArialNarrow"/>
        </w:rPr>
        <w:t xml:space="preserve">%) </w:t>
      </w:r>
      <w:r w:rsidR="00ED6671">
        <w:rPr>
          <w:rFonts w:ascii="Calibri" w:hAnsi="Calibri" w:cs="ArialNarrow"/>
        </w:rPr>
        <w:t xml:space="preserve">and </w:t>
      </w:r>
      <w:r w:rsidR="001121A0">
        <w:rPr>
          <w:rFonts w:ascii="Calibri" w:hAnsi="Calibri" w:cs="ArialNarrow"/>
        </w:rPr>
        <w:t>increased over</w:t>
      </w:r>
      <w:r w:rsidR="002622EC">
        <w:rPr>
          <w:rFonts w:ascii="Calibri" w:hAnsi="Calibri" w:cs="ArialNarrow"/>
        </w:rPr>
        <w:t xml:space="preserve"> the </w:t>
      </w:r>
      <w:r w:rsidR="00DC3908">
        <w:rPr>
          <w:rFonts w:ascii="Calibri" w:hAnsi="Calibri" w:cs="ArialNarrow"/>
        </w:rPr>
        <w:t xml:space="preserve">same period of </w:t>
      </w:r>
      <w:r w:rsidR="0077397D">
        <w:rPr>
          <w:rFonts w:ascii="Calibri" w:hAnsi="Calibri" w:cs="ArialNarrow"/>
        </w:rPr>
        <w:t>2020/21</w:t>
      </w:r>
      <w:r w:rsidR="00A3371A">
        <w:rPr>
          <w:rFonts w:ascii="Calibri" w:hAnsi="Calibri" w:cs="ArialNarrow"/>
        </w:rPr>
        <w:t xml:space="preserve"> </w:t>
      </w:r>
      <w:r w:rsidR="0077397D">
        <w:rPr>
          <w:rFonts w:ascii="Calibri" w:hAnsi="Calibri" w:cs="ArialNarrow"/>
        </w:rPr>
        <w:t>(92.50</w:t>
      </w:r>
      <w:r w:rsidR="001121A0">
        <w:rPr>
          <w:rFonts w:ascii="Calibri" w:hAnsi="Calibri" w:cs="ArialNarrow"/>
        </w:rPr>
        <w:t>%).</w:t>
      </w:r>
      <w:r w:rsidR="009848F5">
        <w:rPr>
          <w:rFonts w:ascii="Calibri" w:hAnsi="Calibri" w:cs="ArialNarrow"/>
        </w:rPr>
        <w:t xml:space="preserve">  </w:t>
      </w:r>
      <w:r w:rsidR="00ED6671">
        <w:rPr>
          <w:rFonts w:ascii="Calibri" w:hAnsi="Calibri" w:cs="ArialNarrow"/>
        </w:rPr>
        <w:t xml:space="preserve">This is related to </w:t>
      </w:r>
      <w:r w:rsidR="001121A0">
        <w:rPr>
          <w:rFonts w:ascii="Calibri" w:hAnsi="Calibri" w:cs="ArialNarrow"/>
        </w:rPr>
        <w:t xml:space="preserve">the filling of </w:t>
      </w:r>
      <w:r w:rsidR="00315836">
        <w:rPr>
          <w:rFonts w:ascii="Calibri" w:hAnsi="Calibri" w:cs="ArialNarrow"/>
        </w:rPr>
        <w:t xml:space="preserve">held beds for </w:t>
      </w:r>
      <w:r w:rsidR="001121A0">
        <w:rPr>
          <w:rFonts w:ascii="Calibri" w:hAnsi="Calibri" w:cs="ArialNarrow"/>
        </w:rPr>
        <w:t>potential COVID outbreak isolation beds.</w:t>
      </w:r>
      <w:r w:rsidR="00ED6671">
        <w:rPr>
          <w:rFonts w:ascii="Calibri" w:hAnsi="Calibri" w:cs="ArialNarrow"/>
        </w:rPr>
        <w:t xml:space="preserve"> </w:t>
      </w:r>
    </w:p>
    <w:p w:rsidR="000501E8" w:rsidRDefault="000501E8" w:rsidP="00CF4AE4">
      <w:pPr>
        <w:rPr>
          <w:rFonts w:ascii="Calibri" w:hAnsi="Calibri" w:cs="ArialNarrow"/>
        </w:rPr>
      </w:pPr>
    </w:p>
    <w:p w:rsidR="00F048BA" w:rsidRDefault="00F048BA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occupancy rate for the respite bed</w:t>
      </w:r>
      <w:r w:rsidR="009C5733">
        <w:rPr>
          <w:rFonts w:ascii="Calibri" w:hAnsi="Calibri" w:cs="ArialNarrow"/>
        </w:rPr>
        <w:t xml:space="preserve"> </w:t>
      </w:r>
      <w:r w:rsidR="003653F0">
        <w:rPr>
          <w:rFonts w:ascii="Calibri" w:hAnsi="Calibri" w:cs="ArialNarrow"/>
        </w:rPr>
        <w:t>is increasing as shown in T</w:t>
      </w:r>
      <w:r>
        <w:rPr>
          <w:rFonts w:ascii="Calibri" w:hAnsi="Calibri" w:cs="ArialNarrow"/>
        </w:rPr>
        <w:t>able 1.</w:t>
      </w:r>
      <w:r w:rsidR="00D94606">
        <w:rPr>
          <w:rFonts w:ascii="Calibri" w:hAnsi="Calibri" w:cs="ArialNarrow"/>
        </w:rPr>
        <w:t xml:space="preserve"> </w:t>
      </w:r>
      <w:r w:rsidR="002A3CF7">
        <w:rPr>
          <w:rFonts w:ascii="Calibri" w:hAnsi="Calibri" w:cs="ArialNarrow"/>
        </w:rPr>
        <w:t>This is due</w:t>
      </w:r>
      <w:r w:rsidR="00F12944">
        <w:rPr>
          <w:rFonts w:ascii="Calibri" w:hAnsi="Calibri" w:cs="ArialNarrow"/>
        </w:rPr>
        <w:t xml:space="preserve"> to</w:t>
      </w:r>
      <w:r w:rsidR="002A3CF7">
        <w:rPr>
          <w:rFonts w:ascii="Calibri" w:hAnsi="Calibri" w:cs="ArialNarrow"/>
        </w:rPr>
        <w:t xml:space="preserve"> </w:t>
      </w:r>
      <w:r w:rsidR="006537D7">
        <w:rPr>
          <w:rFonts w:ascii="Calibri" w:hAnsi="Calibri" w:cs="ArialNarrow"/>
        </w:rPr>
        <w:t xml:space="preserve">resuming the community </w:t>
      </w:r>
      <w:r w:rsidR="002A3CF7">
        <w:rPr>
          <w:rFonts w:ascii="Calibri" w:hAnsi="Calibri" w:cs="ArialNarrow"/>
        </w:rPr>
        <w:t xml:space="preserve">respite </w:t>
      </w:r>
      <w:r w:rsidR="006537D7">
        <w:rPr>
          <w:rFonts w:ascii="Calibri" w:hAnsi="Calibri" w:cs="ArialNarrow"/>
        </w:rPr>
        <w:t>service.</w:t>
      </w:r>
    </w:p>
    <w:p w:rsidR="00F048BA" w:rsidRDefault="00F048BA" w:rsidP="00CF4AE4">
      <w:pPr>
        <w:rPr>
          <w:rFonts w:ascii="Calibri" w:hAnsi="Calibri" w:cs="ArialNarrow"/>
        </w:rPr>
      </w:pPr>
    </w:p>
    <w:p w:rsidR="00F048BA" w:rsidRPr="007A7E7D" w:rsidRDefault="007A7E7D" w:rsidP="008B5A9E">
      <w:pPr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 xml:space="preserve">Table 1 </w:t>
      </w:r>
      <w:r w:rsidR="008B5A9E">
        <w:rPr>
          <w:rFonts w:ascii="Calibri" w:hAnsi="Calibri" w:cs="ArialNarrow"/>
          <w:b/>
        </w:rPr>
        <w:t xml:space="preserve"> </w:t>
      </w: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>Respite Bed Occupancy</w:t>
      </w:r>
    </w:p>
    <w:tbl>
      <w:tblPr>
        <w:tblStyle w:val="TableGrid"/>
        <w:tblpPr w:leftFromText="180" w:rightFromText="180" w:vertAnchor="text" w:horzAnchor="page" w:tblpX="1152" w:tblpY="83"/>
        <w:tblW w:w="9659" w:type="dxa"/>
        <w:tblLook w:val="04A0" w:firstRow="1" w:lastRow="0" w:firstColumn="1" w:lastColumn="0" w:noHBand="0" w:noVBand="1"/>
      </w:tblPr>
      <w:tblGrid>
        <w:gridCol w:w="1203"/>
        <w:gridCol w:w="1208"/>
        <w:gridCol w:w="1208"/>
        <w:gridCol w:w="1208"/>
        <w:gridCol w:w="1208"/>
        <w:gridCol w:w="1208"/>
        <w:gridCol w:w="1208"/>
        <w:gridCol w:w="1208"/>
      </w:tblGrid>
      <w:tr w:rsidR="006537D7" w:rsidTr="006537D7">
        <w:trPr>
          <w:trHeight w:val="282"/>
        </w:trPr>
        <w:tc>
          <w:tcPr>
            <w:tcW w:w="1203" w:type="dxa"/>
          </w:tcPr>
          <w:p w:rsidR="003653F0" w:rsidRPr="007A7E7D" w:rsidRDefault="003653F0" w:rsidP="003653F0">
            <w:pPr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Month</w:t>
            </w:r>
          </w:p>
        </w:tc>
        <w:tc>
          <w:tcPr>
            <w:tcW w:w="120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2015/16</w:t>
            </w:r>
          </w:p>
        </w:tc>
        <w:tc>
          <w:tcPr>
            <w:tcW w:w="112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2016/17</w:t>
            </w:r>
          </w:p>
        </w:tc>
        <w:tc>
          <w:tcPr>
            <w:tcW w:w="128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2017/18</w:t>
            </w:r>
          </w:p>
        </w:tc>
        <w:tc>
          <w:tcPr>
            <w:tcW w:w="120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 2018/19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 xml:space="preserve">Occupancy  </w:t>
            </w:r>
          </w:p>
          <w:p w:rsidR="003653F0" w:rsidRDefault="00D865FD" w:rsidP="00B02B1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</w:t>
            </w:r>
            <w:r w:rsidR="00B02B1F">
              <w:rPr>
                <w:rFonts w:ascii="Calibri" w:hAnsi="Calibri" w:cs="ArialNarrow"/>
                <w:b/>
              </w:rPr>
              <w:t>19</w:t>
            </w:r>
            <w:r>
              <w:rPr>
                <w:rFonts w:ascii="Calibri" w:hAnsi="Calibri" w:cs="ArialNarrow"/>
                <w:b/>
              </w:rPr>
              <w:t>/2</w:t>
            </w:r>
            <w:r w:rsidR="00B02B1F">
              <w:rPr>
                <w:rFonts w:ascii="Calibri" w:hAnsi="Calibri" w:cs="ArialNarrow"/>
                <w:b/>
              </w:rPr>
              <w:t>0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2020-21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2021-22</w:t>
            </w:r>
          </w:p>
        </w:tc>
      </w:tr>
      <w:tr w:rsidR="006537D7" w:rsidTr="006537D7">
        <w:trPr>
          <w:trHeight w:val="287"/>
        </w:trPr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April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43.3%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 w:rsidRPr="006F2C1A">
              <w:t>70.0%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  <w:lang w:val="en-CA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13.3%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48.4%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41.9%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12.9%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 w:rsidRPr="006F2C1A">
              <w:t>35.5%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June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23.3%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36.7%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</w:pPr>
            <w:r w:rsidRPr="006F2C1A">
              <w:t>80.0%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July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96.8%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61.3%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64.5%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August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96.8%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87.1%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51.6%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74.2%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September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20.0%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73.3%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66.7%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October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51.6%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41.9%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November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33.3%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33.3%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77397D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</w:t>
            </w:r>
            <w:r w:rsidR="003653F0">
              <w:rPr>
                <w:rFonts w:ascii="Calibri" w:hAnsi="Calibri" w:cs="Calibri"/>
                <w:color w:val="000000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Cs w:val="22"/>
              </w:rPr>
              <w:t>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December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25.8%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61.3%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77397D" w:rsidP="0077397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January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16.1%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35.5%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0.0%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February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31.0%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25.0%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March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25.8%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19.4%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3653F0" w:rsidTr="006537D7">
        <w:tc>
          <w:tcPr>
            <w:tcW w:w="1203" w:type="dxa"/>
          </w:tcPr>
          <w:p w:rsidR="003653F0" w:rsidRPr="00575ED1" w:rsidRDefault="003653F0" w:rsidP="003653F0">
            <w:pPr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 xml:space="preserve">Total </w:t>
            </w:r>
          </w:p>
        </w:tc>
        <w:tc>
          <w:tcPr>
            <w:tcW w:w="120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>39.1%</w:t>
            </w:r>
          </w:p>
        </w:tc>
        <w:tc>
          <w:tcPr>
            <w:tcW w:w="112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48%</w:t>
            </w:r>
          </w:p>
        </w:tc>
        <w:tc>
          <w:tcPr>
            <w:tcW w:w="128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62.3%</w:t>
            </w:r>
          </w:p>
        </w:tc>
        <w:tc>
          <w:tcPr>
            <w:tcW w:w="1208" w:type="dxa"/>
          </w:tcPr>
          <w:p w:rsidR="003653F0" w:rsidRPr="0087268C" w:rsidRDefault="003653F0" w:rsidP="003653F0">
            <w:pPr>
              <w:jc w:val="right"/>
              <w:rPr>
                <w:b/>
              </w:rPr>
            </w:pPr>
            <w:r w:rsidRPr="0087268C">
              <w:rPr>
                <w:b/>
              </w:rPr>
              <w:t>38.6%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47.4%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</w:t>
            </w:r>
            <w:r w:rsidR="00520FF0">
              <w:rPr>
                <w:rFonts w:ascii="Calibri" w:hAnsi="Calibri" w:cs="ArialNarrow"/>
                <w:b/>
              </w:rPr>
              <w:t>.1</w:t>
            </w:r>
            <w:r>
              <w:rPr>
                <w:rFonts w:ascii="Calibri" w:hAnsi="Calibri" w:cs="ArialNarrow"/>
                <w:b/>
              </w:rPr>
              <w:t>%</w:t>
            </w:r>
          </w:p>
        </w:tc>
        <w:tc>
          <w:tcPr>
            <w:tcW w:w="1208" w:type="dxa"/>
          </w:tcPr>
          <w:p w:rsidR="003653F0" w:rsidRDefault="0077397D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40.7%</w:t>
            </w:r>
          </w:p>
        </w:tc>
      </w:tr>
    </w:tbl>
    <w:p w:rsidR="007C02F8" w:rsidRPr="00E539DC" w:rsidRDefault="007C02F8" w:rsidP="007C02F8">
      <w:pPr>
        <w:spacing w:after="200" w:line="276" w:lineRule="auto"/>
        <w:rPr>
          <w:rFonts w:cstheme="minorBidi"/>
          <w:b/>
          <w:sz w:val="24"/>
          <w:szCs w:val="22"/>
        </w:rPr>
      </w:pPr>
      <w:r>
        <w:rPr>
          <w:rFonts w:ascii="Calibri" w:hAnsi="Calibri" w:cs="ArialNarrow"/>
        </w:rPr>
        <w:br w:type="page"/>
      </w:r>
      <w:r w:rsidR="000D12E5" w:rsidRPr="00027301">
        <w:rPr>
          <w:rFonts w:ascii="Calibri" w:hAnsi="Calibri" w:cs="ArialNarrow"/>
          <w:b/>
          <w:sz w:val="24"/>
        </w:rPr>
        <w:lastRenderedPageBreak/>
        <w:t>2</w:t>
      </w:r>
      <w:r w:rsidRPr="00027301">
        <w:rPr>
          <w:rFonts w:cstheme="minorBidi"/>
          <w:b/>
          <w:sz w:val="24"/>
        </w:rPr>
        <w:t>.0</w:t>
      </w:r>
      <w:r>
        <w:rPr>
          <w:rFonts w:cstheme="minorBidi"/>
          <w:b/>
          <w:sz w:val="24"/>
          <w:szCs w:val="22"/>
        </w:rPr>
        <w:tab/>
        <w:t>Shoreham Village</w:t>
      </w:r>
      <w:r w:rsidRPr="00E539DC">
        <w:rPr>
          <w:rFonts w:cstheme="minorBidi"/>
          <w:b/>
          <w:sz w:val="24"/>
          <w:szCs w:val="22"/>
        </w:rPr>
        <w:t xml:space="preserve"> - Resident</w:t>
      </w:r>
      <w:r w:rsidRPr="00E539DC">
        <w:rPr>
          <w:rFonts w:cstheme="minorBidi"/>
          <w:b/>
          <w:bCs/>
          <w:i/>
          <w:iCs/>
          <w:sz w:val="24"/>
          <w:szCs w:val="22"/>
        </w:rPr>
        <w:t xml:space="preserve"> </w:t>
      </w:r>
      <w:r w:rsidRPr="00E539DC">
        <w:rPr>
          <w:rFonts w:cstheme="minorBidi"/>
          <w:b/>
          <w:sz w:val="24"/>
          <w:szCs w:val="22"/>
        </w:rPr>
        <w:t xml:space="preserve">Incidents – </w:t>
      </w:r>
      <w:r w:rsidR="0087268C">
        <w:rPr>
          <w:b/>
        </w:rPr>
        <w:t>Q</w:t>
      </w:r>
      <w:r w:rsidR="004E196A">
        <w:rPr>
          <w:b/>
        </w:rPr>
        <w:t>3</w:t>
      </w:r>
      <w:r w:rsidR="0087268C">
        <w:rPr>
          <w:b/>
        </w:rPr>
        <w:t xml:space="preserve"> </w:t>
      </w:r>
      <w:r w:rsidR="004E196A">
        <w:rPr>
          <w:b/>
        </w:rPr>
        <w:t>Oct</w:t>
      </w:r>
      <w:r w:rsidR="00F92E60">
        <w:rPr>
          <w:b/>
        </w:rPr>
        <w:t xml:space="preserve"> </w:t>
      </w:r>
      <w:r w:rsidR="0087268C">
        <w:rPr>
          <w:b/>
        </w:rPr>
        <w:t xml:space="preserve">- </w:t>
      </w:r>
      <w:r w:rsidR="004E196A">
        <w:rPr>
          <w:b/>
        </w:rPr>
        <w:t>December</w:t>
      </w:r>
      <w:r w:rsidR="00755211">
        <w:rPr>
          <w:b/>
        </w:rPr>
        <w:t xml:space="preserve"> 202</w:t>
      </w:r>
      <w:r w:rsidR="00D865FD">
        <w:rPr>
          <w:b/>
        </w:rPr>
        <w:t>1</w:t>
      </w:r>
      <w:r w:rsidR="0087268C">
        <w:rPr>
          <w:b/>
        </w:rPr>
        <w:t>/2</w:t>
      </w:r>
      <w:r w:rsidR="00D865FD">
        <w:rPr>
          <w:b/>
        </w:rPr>
        <w:t>2</w:t>
      </w: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4271"/>
        <w:gridCol w:w="1135"/>
        <w:gridCol w:w="1187"/>
        <w:gridCol w:w="1159"/>
        <w:gridCol w:w="1080"/>
        <w:gridCol w:w="1243"/>
      </w:tblGrid>
      <w:tr w:rsidR="002A3CF7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F7" w:rsidRPr="00F05E23" w:rsidRDefault="002A3CF7" w:rsidP="002A3CF7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 # of Incidents Per Quarter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4E19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  <w:p w:rsidR="002A3CF7" w:rsidRPr="008E070D" w:rsidRDefault="00D865FD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B02B1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/2</w:t>
            </w:r>
            <w:r w:rsidR="00B02B1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2A3CF7" w:rsidRPr="008E070D" w:rsidRDefault="00D865FD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2A3CF7" w:rsidRPr="008E070D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2A3CF7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8F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F0B5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D40080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8F0B5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  <w:r w:rsidR="008F0B59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683C5C" w:rsidP="00B02B1F">
            <w:pPr>
              <w:ind w:left="-3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02B1F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B02B1F" w:rsidRPr="00F05E23" w:rsidRDefault="00B02B1F" w:rsidP="00B02B1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Pr="008E070D" w:rsidRDefault="00B02B1F" w:rsidP="00B02B1F">
            <w:pPr>
              <w:ind w:left="-3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2B1F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F" w:rsidRPr="00F05E23" w:rsidRDefault="00B02B1F" w:rsidP="00B02B1F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Per 1000 Resident Days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1F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4E19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B02B1F" w:rsidRPr="008E070D" w:rsidRDefault="00B02B1F" w:rsidP="00B02B1F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B02B1F" w:rsidRPr="008E070D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8F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8F0B59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F" w:rsidRPr="0056156C" w:rsidRDefault="00B02B1F" w:rsidP="00B02B1F">
            <w:pPr>
              <w:spacing w:line="276" w:lineRule="auto"/>
              <w:rPr>
                <w:rFonts w:ascii="Calibri" w:hAnsi="Calibri"/>
                <w:color w:val="000000"/>
                <w:sz w:val="4"/>
                <w:szCs w:val="4"/>
              </w:rPr>
            </w:pPr>
          </w:p>
          <w:p w:rsidR="00B02B1F" w:rsidRPr="00F05E23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56156C" w:rsidRDefault="00B02B1F" w:rsidP="00B02B1F">
            <w:pPr>
              <w:spacing w:line="276" w:lineRule="auto"/>
              <w:rPr>
                <w:rFonts w:ascii="Calibri" w:hAnsi="Calibri"/>
                <w:color w:val="000000"/>
                <w:sz w:val="8"/>
                <w:szCs w:val="8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8704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7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540195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540195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spacing w:line="276" w:lineRule="auto"/>
              <w:ind w:right="-18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D34AD0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2" w:rsidRPr="00716729" w:rsidRDefault="00D058F2" w:rsidP="008F0B5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F0B59">
              <w:rPr>
                <w:rFonts w:ascii="Calibri" w:hAnsi="Calibri"/>
                <w:b/>
                <w:bCs/>
                <w:color w:val="000000"/>
              </w:rPr>
              <w:t>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C02F8" w:rsidRDefault="007C02F8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38381D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335395" cy="3827417"/>
            <wp:effectExtent l="0" t="0" r="8255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6A52C1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126480" cy="3688080"/>
            <wp:effectExtent l="0" t="0" r="762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331B" w:rsidRDefault="0082331B" w:rsidP="007C02F8">
      <w:pPr>
        <w:rPr>
          <w:rFonts w:ascii="Calibri" w:hAnsi="Calibri" w:cs="ArialNarrow"/>
          <w:b/>
          <w:sz w:val="24"/>
        </w:rPr>
      </w:pPr>
    </w:p>
    <w:p w:rsidR="001206C5" w:rsidRDefault="001206C5" w:rsidP="007C02F8">
      <w:pPr>
        <w:rPr>
          <w:rFonts w:ascii="Calibri" w:hAnsi="Calibri" w:cs="ArialNarrow"/>
          <w:b/>
          <w:szCs w:val="22"/>
        </w:rPr>
      </w:pPr>
    </w:p>
    <w:p w:rsidR="006033F1" w:rsidRDefault="007C02F8" w:rsidP="00511E80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Comments:</w:t>
      </w:r>
      <w:r w:rsidR="006033F1">
        <w:rPr>
          <w:rFonts w:ascii="Calibri" w:hAnsi="Calibri" w:cs="ArialNarrow"/>
          <w:b/>
          <w:szCs w:val="22"/>
        </w:rPr>
        <w:t xml:space="preserve"> </w:t>
      </w:r>
      <w:r w:rsidR="00085A45">
        <w:rPr>
          <w:rFonts w:ascii="Calibri" w:hAnsi="Calibri" w:cs="ArialNarrow"/>
          <w:b/>
          <w:szCs w:val="22"/>
        </w:rPr>
        <w:t>beds days 7760</w:t>
      </w:r>
    </w:p>
    <w:p w:rsidR="00511E80" w:rsidRPr="002958B0" w:rsidRDefault="00511E80" w:rsidP="00511E80">
      <w:pPr>
        <w:rPr>
          <w:rFonts w:ascii="Calibri" w:hAnsi="Calibri" w:cs="ArialNarrow"/>
          <w:b/>
          <w:sz w:val="16"/>
          <w:szCs w:val="16"/>
        </w:rPr>
      </w:pPr>
    </w:p>
    <w:p w:rsidR="007C02F8" w:rsidRDefault="007C02F8" w:rsidP="007C02F8">
      <w:pPr>
        <w:rPr>
          <w:rFonts w:ascii="Calibri" w:hAnsi="Calibri" w:cs="ArialNarrow"/>
          <w:szCs w:val="22"/>
        </w:rPr>
      </w:pPr>
      <w:r w:rsidRPr="009400B4">
        <w:rPr>
          <w:rFonts w:ascii="Calibri" w:hAnsi="Calibri" w:cs="ArialNarrow"/>
          <w:szCs w:val="22"/>
        </w:rPr>
        <w:t xml:space="preserve">The number and rate of incidents have </w:t>
      </w:r>
      <w:r w:rsidR="008E11E7">
        <w:rPr>
          <w:rFonts w:ascii="Calibri" w:hAnsi="Calibri" w:cs="ArialNarrow"/>
          <w:szCs w:val="22"/>
        </w:rPr>
        <w:t>in</w:t>
      </w:r>
      <w:r w:rsidR="008E6C0F">
        <w:rPr>
          <w:rFonts w:ascii="Calibri" w:hAnsi="Calibri" w:cs="ArialNarrow"/>
          <w:szCs w:val="22"/>
        </w:rPr>
        <w:t xml:space="preserve">creased </w:t>
      </w:r>
      <w:r w:rsidR="0094473E">
        <w:rPr>
          <w:rFonts w:ascii="Calibri" w:hAnsi="Calibri" w:cs="ArialNarrow"/>
          <w:szCs w:val="22"/>
        </w:rPr>
        <w:t xml:space="preserve">over the last quarter </w:t>
      </w:r>
      <w:r w:rsidR="00BA5693">
        <w:rPr>
          <w:rFonts w:ascii="Calibri" w:hAnsi="Calibri" w:cs="ArialNarrow"/>
          <w:szCs w:val="22"/>
        </w:rPr>
        <w:t>(1</w:t>
      </w:r>
      <w:r w:rsidR="00683C5C">
        <w:rPr>
          <w:rFonts w:ascii="Calibri" w:hAnsi="Calibri" w:cs="ArialNarrow"/>
          <w:szCs w:val="22"/>
        </w:rPr>
        <w:t>45</w:t>
      </w:r>
      <w:r w:rsidR="00511E80">
        <w:rPr>
          <w:rFonts w:ascii="Calibri" w:hAnsi="Calibri" w:cs="ArialNarrow"/>
          <w:szCs w:val="22"/>
        </w:rPr>
        <w:t xml:space="preserve">) </w:t>
      </w:r>
      <w:r w:rsidR="008E11E7">
        <w:rPr>
          <w:rFonts w:ascii="Calibri" w:hAnsi="Calibri" w:cs="ArialNarrow"/>
          <w:szCs w:val="22"/>
        </w:rPr>
        <w:t>and</w:t>
      </w:r>
      <w:r w:rsidR="0094473E">
        <w:rPr>
          <w:rFonts w:ascii="Calibri" w:hAnsi="Calibri" w:cs="ArialNarrow"/>
          <w:szCs w:val="22"/>
        </w:rPr>
        <w:t xml:space="preserve"> over the same period of last year</w:t>
      </w:r>
      <w:r w:rsidR="00683C5C">
        <w:rPr>
          <w:rFonts w:ascii="Calibri" w:hAnsi="Calibri" w:cs="ArialNarrow"/>
          <w:szCs w:val="22"/>
        </w:rPr>
        <w:t xml:space="preserve"> (149</w:t>
      </w:r>
      <w:r w:rsidR="00511E80">
        <w:rPr>
          <w:rFonts w:ascii="Calibri" w:hAnsi="Calibri" w:cs="ArialNarrow"/>
          <w:szCs w:val="22"/>
        </w:rPr>
        <w:t>)</w:t>
      </w:r>
      <w:r w:rsidR="0094473E">
        <w:rPr>
          <w:rFonts w:ascii="Calibri" w:hAnsi="Calibri" w:cs="ArialNarrow"/>
          <w:szCs w:val="22"/>
        </w:rPr>
        <w:t xml:space="preserve">.  </w:t>
      </w:r>
      <w:r w:rsidR="00006395">
        <w:rPr>
          <w:rFonts w:ascii="Calibri" w:hAnsi="Calibri" w:cs="ArialNarrow"/>
          <w:szCs w:val="22"/>
        </w:rPr>
        <w:t>Th</w:t>
      </w:r>
      <w:r w:rsidR="00A9520E">
        <w:rPr>
          <w:rFonts w:ascii="Calibri" w:hAnsi="Calibri" w:cs="ArialNarrow"/>
          <w:szCs w:val="22"/>
        </w:rPr>
        <w:t>e number of incidents per wing were</w:t>
      </w:r>
      <w:r w:rsidR="008E6C0F">
        <w:rPr>
          <w:rFonts w:ascii="Calibri" w:hAnsi="Calibri" w:cs="ArialNarrow"/>
          <w:szCs w:val="22"/>
        </w:rPr>
        <w:t xml:space="preserve">: A – </w:t>
      </w:r>
      <w:r w:rsidR="00683C5C">
        <w:rPr>
          <w:rFonts w:ascii="Calibri" w:hAnsi="Calibri" w:cs="ArialNarrow"/>
          <w:szCs w:val="22"/>
        </w:rPr>
        <w:t>20</w:t>
      </w:r>
      <w:r w:rsidR="00006395">
        <w:rPr>
          <w:rFonts w:ascii="Calibri" w:hAnsi="Calibri" w:cs="ArialNarrow"/>
          <w:szCs w:val="22"/>
        </w:rPr>
        <w:t xml:space="preserve">, </w:t>
      </w:r>
      <w:r w:rsidR="006C58F8">
        <w:rPr>
          <w:rFonts w:ascii="Calibri" w:hAnsi="Calibri" w:cs="ArialNarrow"/>
          <w:szCs w:val="22"/>
        </w:rPr>
        <w:t>B</w:t>
      </w:r>
      <w:r w:rsidR="008E6C0F">
        <w:rPr>
          <w:rFonts w:ascii="Calibri" w:hAnsi="Calibri" w:cs="ArialNarrow"/>
          <w:szCs w:val="22"/>
        </w:rPr>
        <w:t xml:space="preserve"> – </w:t>
      </w:r>
      <w:r w:rsidR="00683C5C">
        <w:rPr>
          <w:rFonts w:ascii="Calibri" w:hAnsi="Calibri" w:cs="ArialNarrow"/>
          <w:szCs w:val="22"/>
        </w:rPr>
        <w:t>57</w:t>
      </w:r>
      <w:r w:rsidR="008E6C0F">
        <w:rPr>
          <w:rFonts w:ascii="Calibri" w:hAnsi="Calibri" w:cs="ArialNarrow"/>
          <w:szCs w:val="22"/>
        </w:rPr>
        <w:t xml:space="preserve">, C – </w:t>
      </w:r>
      <w:r w:rsidR="00683C5C">
        <w:rPr>
          <w:rFonts w:ascii="Calibri" w:hAnsi="Calibri" w:cs="ArialNarrow"/>
          <w:szCs w:val="22"/>
        </w:rPr>
        <w:t>21</w:t>
      </w:r>
      <w:r w:rsidR="008E6C0F">
        <w:rPr>
          <w:rFonts w:ascii="Calibri" w:hAnsi="Calibri" w:cs="ArialNarrow"/>
          <w:szCs w:val="22"/>
        </w:rPr>
        <w:t>, D – 1</w:t>
      </w:r>
      <w:r w:rsidR="00683C5C">
        <w:rPr>
          <w:rFonts w:ascii="Calibri" w:hAnsi="Calibri" w:cs="ArialNarrow"/>
          <w:szCs w:val="22"/>
        </w:rPr>
        <w:t>8</w:t>
      </w:r>
      <w:r w:rsidR="00511E80">
        <w:rPr>
          <w:rFonts w:ascii="Calibri" w:hAnsi="Calibri" w:cs="ArialNarrow"/>
          <w:szCs w:val="22"/>
        </w:rPr>
        <w:t xml:space="preserve"> </w:t>
      </w:r>
      <w:r w:rsidR="00006395">
        <w:rPr>
          <w:rFonts w:ascii="Calibri" w:hAnsi="Calibri" w:cs="ArialNarrow"/>
          <w:szCs w:val="22"/>
        </w:rPr>
        <w:t>and E</w:t>
      </w:r>
      <w:r w:rsidR="00BA5693">
        <w:rPr>
          <w:rFonts w:ascii="Calibri" w:hAnsi="Calibri" w:cs="ArialNarrow"/>
          <w:szCs w:val="22"/>
        </w:rPr>
        <w:t xml:space="preserve"> –</w:t>
      </w:r>
      <w:r w:rsidR="00683C5C">
        <w:rPr>
          <w:rFonts w:ascii="Calibri" w:hAnsi="Calibri" w:cs="ArialNarrow"/>
          <w:szCs w:val="22"/>
        </w:rPr>
        <w:t xml:space="preserve"> 37</w:t>
      </w:r>
      <w:r w:rsidR="00006395">
        <w:rPr>
          <w:rFonts w:ascii="Calibri" w:hAnsi="Calibri" w:cs="ArialNarrow"/>
          <w:szCs w:val="22"/>
        </w:rPr>
        <w:t>.</w:t>
      </w:r>
      <w:r w:rsidR="00AC3FFF">
        <w:rPr>
          <w:rFonts w:ascii="Calibri" w:hAnsi="Calibri" w:cs="ArialNarrow"/>
          <w:szCs w:val="22"/>
        </w:rPr>
        <w:t xml:space="preserve">  </w:t>
      </w:r>
    </w:p>
    <w:p w:rsidR="004F5DBC" w:rsidRDefault="004F5DBC" w:rsidP="007C02F8">
      <w:pPr>
        <w:rPr>
          <w:rFonts w:ascii="Calibri" w:hAnsi="Calibri" w:cs="ArialNarrow"/>
          <w:szCs w:val="22"/>
        </w:rPr>
      </w:pPr>
    </w:p>
    <w:p w:rsidR="00947E0D" w:rsidRPr="00947E0D" w:rsidRDefault="00683C5C" w:rsidP="00947E0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Of the 156</w:t>
      </w:r>
      <w:r w:rsidR="00947E0D" w:rsidRPr="00947E0D">
        <w:rPr>
          <w:rFonts w:ascii="Calibri" w:hAnsi="Calibri" w:cs="ArialNarrow"/>
          <w:szCs w:val="22"/>
        </w:rPr>
        <w:t xml:space="preserve"> incidents </w:t>
      </w:r>
      <w:r w:rsidR="00B336A1">
        <w:rPr>
          <w:rFonts w:ascii="Calibri" w:hAnsi="Calibri" w:cs="ArialNarrow"/>
          <w:szCs w:val="22"/>
        </w:rPr>
        <w:t>16</w:t>
      </w:r>
      <w:r w:rsidR="00947E0D" w:rsidRPr="00947E0D">
        <w:rPr>
          <w:rFonts w:ascii="Calibri" w:hAnsi="Calibri" w:cs="ArialNarrow"/>
          <w:szCs w:val="22"/>
        </w:rPr>
        <w:t>% were near misses.</w:t>
      </w:r>
    </w:p>
    <w:p w:rsidR="00987258" w:rsidRDefault="00A25D51" w:rsidP="00947E0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7</w:t>
      </w:r>
      <w:r w:rsidR="00947E0D" w:rsidRPr="00947E0D">
        <w:rPr>
          <w:rFonts w:ascii="Calibri" w:hAnsi="Calibri" w:cs="ArialNarrow"/>
          <w:szCs w:val="22"/>
        </w:rPr>
        <w:t xml:space="preserve"> </w:t>
      </w:r>
      <w:r w:rsidR="00987258" w:rsidRPr="00947E0D">
        <w:rPr>
          <w:rFonts w:ascii="Calibri" w:hAnsi="Calibri" w:cs="ArialNarrow"/>
          <w:szCs w:val="22"/>
        </w:rPr>
        <w:t xml:space="preserve">residents had </w:t>
      </w:r>
      <w:r>
        <w:rPr>
          <w:rFonts w:ascii="Calibri" w:hAnsi="Calibri" w:cs="ArialNarrow"/>
          <w:szCs w:val="22"/>
        </w:rPr>
        <w:t>5</w:t>
      </w:r>
      <w:r w:rsidR="00947E0D" w:rsidRPr="00947E0D">
        <w:rPr>
          <w:rFonts w:ascii="Calibri" w:hAnsi="Calibri" w:cs="ArialNarrow"/>
          <w:szCs w:val="22"/>
        </w:rPr>
        <w:t xml:space="preserve"> or more </w:t>
      </w:r>
      <w:r w:rsidR="00987258" w:rsidRPr="00947E0D">
        <w:rPr>
          <w:rFonts w:ascii="Calibri" w:hAnsi="Calibri" w:cs="ArialNarrow"/>
          <w:szCs w:val="22"/>
        </w:rPr>
        <w:t xml:space="preserve">incidents </w:t>
      </w:r>
      <w:r w:rsidR="00511E80" w:rsidRPr="00947E0D">
        <w:rPr>
          <w:rFonts w:ascii="Calibri" w:hAnsi="Calibri" w:cs="ArialNarrow"/>
          <w:szCs w:val="22"/>
        </w:rPr>
        <w:t>th</w:t>
      </w:r>
      <w:r w:rsidR="004175E1" w:rsidRPr="00947E0D">
        <w:rPr>
          <w:rFonts w:ascii="Calibri" w:hAnsi="Calibri" w:cs="ArialNarrow"/>
          <w:szCs w:val="22"/>
        </w:rPr>
        <w:t>is quarter</w:t>
      </w:r>
      <w:r w:rsidR="009B019B">
        <w:rPr>
          <w:rFonts w:ascii="Calibri" w:hAnsi="Calibri" w:cs="ArialNarrow"/>
          <w:szCs w:val="22"/>
        </w:rPr>
        <w:t xml:space="preserve"> (excluding med occurrences)</w:t>
      </w:r>
      <w:r w:rsidR="004175E1" w:rsidRPr="00947E0D">
        <w:rPr>
          <w:rFonts w:ascii="Calibri" w:hAnsi="Calibri" w:cs="ArialNarrow"/>
          <w:szCs w:val="22"/>
        </w:rPr>
        <w:t xml:space="preserve">. </w:t>
      </w:r>
      <w:r w:rsidR="009B019B">
        <w:rPr>
          <w:rFonts w:ascii="Calibri" w:hAnsi="Calibri" w:cs="ArialNarrow"/>
          <w:szCs w:val="22"/>
        </w:rPr>
        <w:t xml:space="preserve"> 7 Residents accounted for 45 incidents (40</w:t>
      </w:r>
      <w:r w:rsidR="00947E0D">
        <w:rPr>
          <w:rFonts w:ascii="Calibri" w:hAnsi="Calibri" w:cs="ArialNarrow"/>
          <w:szCs w:val="22"/>
        </w:rPr>
        <w:t>%)</w:t>
      </w:r>
      <w:r w:rsidR="009B019B">
        <w:rPr>
          <w:rFonts w:ascii="Calibri" w:hAnsi="Calibri" w:cs="ArialNarrow"/>
          <w:szCs w:val="22"/>
        </w:rPr>
        <w:t xml:space="preserve"> other than med occurrences</w:t>
      </w:r>
      <w:r w:rsidR="00947E0D">
        <w:rPr>
          <w:rFonts w:ascii="Calibri" w:hAnsi="Calibri" w:cs="ArialNarrow"/>
          <w:szCs w:val="22"/>
        </w:rPr>
        <w:t>.</w:t>
      </w:r>
    </w:p>
    <w:p w:rsidR="00947E0D" w:rsidRPr="00947E0D" w:rsidRDefault="00947E0D" w:rsidP="00947E0D">
      <w:pPr>
        <w:rPr>
          <w:rFonts w:ascii="Calibri" w:hAnsi="Calibri" w:cs="ArialNarrow"/>
          <w:szCs w:val="22"/>
        </w:rPr>
      </w:pPr>
    </w:p>
    <w:p w:rsidR="0094473E" w:rsidRPr="009400B4" w:rsidRDefault="0094473E" w:rsidP="007C02F8">
      <w:pPr>
        <w:rPr>
          <w:rFonts w:ascii="Calibri" w:hAnsi="Calibri" w:cs="ArialNarrow"/>
          <w:szCs w:val="22"/>
        </w:rPr>
      </w:pPr>
    </w:p>
    <w:p w:rsidR="007C02F8" w:rsidRDefault="007C02F8" w:rsidP="007C02F8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Responsive Behav</w:t>
      </w:r>
      <w:r w:rsidR="0094473E">
        <w:rPr>
          <w:rFonts w:ascii="Calibri" w:hAnsi="Calibri" w:cs="ArialNarrow"/>
          <w:b/>
          <w:szCs w:val="22"/>
        </w:rPr>
        <w:t>io</w:t>
      </w:r>
      <w:r w:rsidRPr="009400B4">
        <w:rPr>
          <w:rFonts w:ascii="Calibri" w:hAnsi="Calibri" w:cs="ArialNarrow"/>
          <w:b/>
          <w:szCs w:val="22"/>
        </w:rPr>
        <w:t>rs</w:t>
      </w:r>
      <w:r w:rsidR="00D14085">
        <w:rPr>
          <w:rFonts w:ascii="Calibri" w:hAnsi="Calibri" w:cs="ArialNarrow"/>
          <w:b/>
          <w:szCs w:val="22"/>
        </w:rPr>
        <w:t xml:space="preserve"> </w:t>
      </w:r>
    </w:p>
    <w:p w:rsidR="00B336A1" w:rsidRPr="00D14085" w:rsidRDefault="00B336A1" w:rsidP="007C02F8">
      <w:pPr>
        <w:rPr>
          <w:rFonts w:ascii="Calibri" w:hAnsi="Calibri" w:cs="ArialNarrow"/>
          <w:b/>
          <w:i/>
          <w:szCs w:val="22"/>
          <w:u w:val="single"/>
        </w:rPr>
      </w:pPr>
    </w:p>
    <w:p w:rsidR="006C58F8" w:rsidRDefault="007C02F8" w:rsidP="006C58F8">
      <w:pPr>
        <w:rPr>
          <w:rFonts w:ascii="Calibri" w:hAnsi="Calibri" w:cs="ArialNarrow"/>
          <w:szCs w:val="22"/>
        </w:rPr>
      </w:pPr>
      <w:r w:rsidRPr="009400B4">
        <w:rPr>
          <w:rFonts w:ascii="Calibri" w:hAnsi="Calibri" w:cs="ArialNarrow"/>
          <w:szCs w:val="22"/>
        </w:rPr>
        <w:lastRenderedPageBreak/>
        <w:t xml:space="preserve">Of the </w:t>
      </w:r>
      <w:r w:rsidR="00791873">
        <w:rPr>
          <w:rFonts w:ascii="Calibri" w:hAnsi="Calibri" w:cs="ArialNarrow"/>
          <w:szCs w:val="22"/>
        </w:rPr>
        <w:t>28</w:t>
      </w:r>
      <w:r w:rsidR="00ED0395">
        <w:rPr>
          <w:rFonts w:ascii="Calibri" w:hAnsi="Calibri" w:cs="ArialNarrow"/>
          <w:szCs w:val="22"/>
        </w:rPr>
        <w:t xml:space="preserve"> </w:t>
      </w:r>
      <w:r w:rsidRPr="009400B4">
        <w:rPr>
          <w:rFonts w:ascii="Calibri" w:hAnsi="Calibri" w:cs="ArialNarrow"/>
          <w:szCs w:val="22"/>
        </w:rPr>
        <w:t>incidents,</w:t>
      </w:r>
      <w:r w:rsidR="00791873">
        <w:rPr>
          <w:rFonts w:ascii="Calibri" w:hAnsi="Calibri" w:cs="ArialNarrow"/>
          <w:szCs w:val="22"/>
        </w:rPr>
        <w:t xml:space="preserve"> </w:t>
      </w:r>
      <w:r w:rsidR="009B019B">
        <w:rPr>
          <w:rFonts w:ascii="Calibri" w:hAnsi="Calibri" w:cs="ArialNarrow"/>
          <w:szCs w:val="22"/>
        </w:rPr>
        <w:t>3</w:t>
      </w:r>
      <w:r w:rsidR="00D14085">
        <w:rPr>
          <w:rFonts w:ascii="Calibri" w:hAnsi="Calibri" w:cs="ArialNarrow"/>
          <w:szCs w:val="22"/>
        </w:rPr>
        <w:t xml:space="preserve"> resident</w:t>
      </w:r>
      <w:r w:rsidR="009B019B">
        <w:rPr>
          <w:rFonts w:ascii="Calibri" w:hAnsi="Calibri" w:cs="ArialNarrow"/>
          <w:szCs w:val="22"/>
        </w:rPr>
        <w:t>s</w:t>
      </w:r>
      <w:r w:rsidR="00D14085">
        <w:rPr>
          <w:rFonts w:ascii="Calibri" w:hAnsi="Calibri" w:cs="ArialNarrow"/>
          <w:szCs w:val="22"/>
        </w:rPr>
        <w:t xml:space="preserve"> </w:t>
      </w:r>
      <w:r w:rsidRPr="009400B4">
        <w:rPr>
          <w:rFonts w:ascii="Calibri" w:hAnsi="Calibri" w:cs="ArialNarrow"/>
          <w:szCs w:val="22"/>
        </w:rPr>
        <w:t>account</w:t>
      </w:r>
      <w:r w:rsidR="009834D6">
        <w:rPr>
          <w:rFonts w:ascii="Calibri" w:hAnsi="Calibri" w:cs="ArialNarrow"/>
          <w:szCs w:val="22"/>
        </w:rPr>
        <w:t>ed</w:t>
      </w:r>
      <w:r w:rsidRPr="009400B4">
        <w:rPr>
          <w:rFonts w:ascii="Calibri" w:hAnsi="Calibri" w:cs="ArialNarrow"/>
          <w:szCs w:val="22"/>
        </w:rPr>
        <w:t xml:space="preserve"> for </w:t>
      </w:r>
      <w:r w:rsidR="009B019B">
        <w:rPr>
          <w:rFonts w:ascii="Calibri" w:hAnsi="Calibri" w:cs="ArialNarrow"/>
          <w:szCs w:val="22"/>
        </w:rPr>
        <w:t>39</w:t>
      </w:r>
      <w:r w:rsidR="00735F15">
        <w:rPr>
          <w:rFonts w:ascii="Calibri" w:hAnsi="Calibri" w:cs="ArialNarrow"/>
          <w:szCs w:val="22"/>
        </w:rPr>
        <w:t>%</w:t>
      </w:r>
      <w:r w:rsidR="00B604E4">
        <w:rPr>
          <w:rFonts w:ascii="Calibri" w:hAnsi="Calibri" w:cs="ArialNarrow"/>
          <w:szCs w:val="22"/>
        </w:rPr>
        <w:t xml:space="preserve"> of the incidents</w:t>
      </w:r>
      <w:r w:rsidR="009834D6">
        <w:rPr>
          <w:rFonts w:ascii="Calibri" w:hAnsi="Calibri" w:cs="ArialNarrow"/>
          <w:szCs w:val="22"/>
        </w:rPr>
        <w:t>.</w:t>
      </w:r>
      <w:r w:rsidR="009B019B">
        <w:rPr>
          <w:rFonts w:ascii="Calibri" w:hAnsi="Calibri" w:cs="ArialNarrow"/>
          <w:szCs w:val="22"/>
        </w:rPr>
        <w:t xml:space="preserve"> 1 resident had 5 incidents and 2 residents had 3 incidents each.</w:t>
      </w:r>
      <w:r w:rsidR="009834D6">
        <w:rPr>
          <w:rFonts w:ascii="Calibri" w:hAnsi="Calibri" w:cs="ArialNarrow"/>
          <w:szCs w:val="22"/>
        </w:rPr>
        <w:t xml:space="preserve"> </w:t>
      </w:r>
      <w:r w:rsidR="006C58F8">
        <w:rPr>
          <w:rFonts w:ascii="Calibri" w:hAnsi="Calibri" w:cs="ArialNarrow"/>
          <w:szCs w:val="22"/>
        </w:rPr>
        <w:t xml:space="preserve"> The number of incident</w:t>
      </w:r>
      <w:r w:rsidR="00D14085">
        <w:rPr>
          <w:rFonts w:ascii="Calibri" w:hAnsi="Calibri" w:cs="ArialNarrow"/>
          <w:szCs w:val="22"/>
        </w:rPr>
        <w:t>s per wing: A –</w:t>
      </w:r>
      <w:r w:rsidR="009B019B">
        <w:rPr>
          <w:rFonts w:ascii="Calibri" w:hAnsi="Calibri" w:cs="ArialNarrow"/>
          <w:szCs w:val="22"/>
        </w:rPr>
        <w:t>5</w:t>
      </w:r>
      <w:r w:rsidR="00D14085">
        <w:rPr>
          <w:rFonts w:ascii="Calibri" w:hAnsi="Calibri" w:cs="ArialNarrow"/>
          <w:szCs w:val="22"/>
        </w:rPr>
        <w:t xml:space="preserve"> </w:t>
      </w:r>
      <w:r w:rsidR="00F309AC">
        <w:rPr>
          <w:rFonts w:ascii="Calibri" w:hAnsi="Calibri" w:cs="ArialNarrow"/>
          <w:szCs w:val="22"/>
        </w:rPr>
        <w:t>, B –</w:t>
      </w:r>
      <w:r w:rsidR="009B019B">
        <w:rPr>
          <w:rFonts w:ascii="Calibri" w:hAnsi="Calibri" w:cs="ArialNarrow"/>
          <w:szCs w:val="22"/>
        </w:rPr>
        <w:t>12</w:t>
      </w:r>
      <w:r w:rsidR="00F309AC">
        <w:rPr>
          <w:rFonts w:ascii="Calibri" w:hAnsi="Calibri" w:cs="ArialNarrow"/>
          <w:szCs w:val="22"/>
        </w:rPr>
        <w:t xml:space="preserve"> </w:t>
      </w:r>
      <w:r w:rsidR="00B604E4">
        <w:rPr>
          <w:rFonts w:ascii="Calibri" w:hAnsi="Calibri" w:cs="ArialNarrow"/>
          <w:szCs w:val="22"/>
        </w:rPr>
        <w:t>, C –</w:t>
      </w:r>
      <w:r w:rsidR="009B019B">
        <w:rPr>
          <w:rFonts w:ascii="Calibri" w:hAnsi="Calibri" w:cs="ArialNarrow"/>
          <w:szCs w:val="22"/>
        </w:rPr>
        <w:t>5</w:t>
      </w:r>
      <w:r w:rsidR="00B604E4">
        <w:rPr>
          <w:rFonts w:ascii="Calibri" w:hAnsi="Calibri" w:cs="ArialNarrow"/>
          <w:szCs w:val="22"/>
        </w:rPr>
        <w:t xml:space="preserve"> </w:t>
      </w:r>
      <w:r w:rsidR="00D14085">
        <w:rPr>
          <w:rFonts w:ascii="Calibri" w:hAnsi="Calibri" w:cs="ArialNarrow"/>
          <w:szCs w:val="22"/>
        </w:rPr>
        <w:t>, D –</w:t>
      </w:r>
      <w:r w:rsidR="009B019B">
        <w:rPr>
          <w:rFonts w:ascii="Calibri" w:hAnsi="Calibri" w:cs="ArialNarrow"/>
          <w:szCs w:val="22"/>
        </w:rPr>
        <w:t>3</w:t>
      </w:r>
      <w:r w:rsidR="00D14085">
        <w:rPr>
          <w:rFonts w:ascii="Calibri" w:hAnsi="Calibri" w:cs="ArialNarrow"/>
          <w:szCs w:val="22"/>
        </w:rPr>
        <w:t xml:space="preserve"> </w:t>
      </w:r>
      <w:r w:rsidR="006C58F8">
        <w:rPr>
          <w:rFonts w:ascii="Calibri" w:hAnsi="Calibri" w:cs="ArialNarrow"/>
          <w:szCs w:val="22"/>
        </w:rPr>
        <w:t xml:space="preserve"> and E – </w:t>
      </w:r>
      <w:r w:rsidR="009B019B">
        <w:rPr>
          <w:rFonts w:ascii="Calibri" w:hAnsi="Calibri" w:cs="ArialNarrow"/>
          <w:szCs w:val="22"/>
        </w:rPr>
        <w:t>3</w:t>
      </w:r>
      <w:r w:rsidR="00D14085">
        <w:rPr>
          <w:rFonts w:ascii="Calibri" w:hAnsi="Calibri" w:cs="ArialNarrow"/>
          <w:szCs w:val="22"/>
        </w:rPr>
        <w:t xml:space="preserve">.  </w:t>
      </w:r>
      <w:r w:rsidR="006C58F8">
        <w:rPr>
          <w:rFonts w:ascii="Calibri" w:hAnsi="Calibri" w:cs="ArialNarrow"/>
          <w:szCs w:val="22"/>
        </w:rPr>
        <w:t xml:space="preserve"> </w:t>
      </w:r>
    </w:p>
    <w:p w:rsidR="006C58F8" w:rsidRDefault="006C58F8" w:rsidP="007C02F8">
      <w:pPr>
        <w:rPr>
          <w:rFonts w:ascii="Calibri" w:hAnsi="Calibri" w:cs="ArialNarrow"/>
          <w:szCs w:val="22"/>
        </w:rPr>
      </w:pPr>
    </w:p>
    <w:p w:rsidR="007C02F8" w:rsidRDefault="00D14085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There were </w:t>
      </w:r>
      <w:r w:rsidR="00791873">
        <w:rPr>
          <w:rFonts w:ascii="Calibri" w:hAnsi="Calibri" w:cs="ArialNarrow"/>
          <w:szCs w:val="22"/>
        </w:rPr>
        <w:t>19</w:t>
      </w:r>
      <w:r w:rsidR="00B604E4">
        <w:rPr>
          <w:rFonts w:ascii="Calibri" w:hAnsi="Calibri" w:cs="ArialNarrow"/>
          <w:szCs w:val="22"/>
        </w:rPr>
        <w:t xml:space="preserve"> </w:t>
      </w:r>
      <w:r w:rsidR="009834D6">
        <w:rPr>
          <w:rFonts w:ascii="Calibri" w:hAnsi="Calibri" w:cs="ArialNarrow"/>
          <w:szCs w:val="22"/>
        </w:rPr>
        <w:t>e</w:t>
      </w:r>
      <w:r w:rsidR="00B604E4">
        <w:rPr>
          <w:rFonts w:ascii="Calibri" w:hAnsi="Calibri" w:cs="ArialNarrow"/>
          <w:szCs w:val="22"/>
        </w:rPr>
        <w:t xml:space="preserve">pisodes of physical aggression and </w:t>
      </w:r>
      <w:r w:rsidR="00791873">
        <w:rPr>
          <w:rFonts w:ascii="Calibri" w:hAnsi="Calibri" w:cs="ArialNarrow"/>
          <w:szCs w:val="22"/>
        </w:rPr>
        <w:t>9</w:t>
      </w:r>
      <w:r w:rsidR="00B604E4">
        <w:rPr>
          <w:rFonts w:ascii="Calibri" w:hAnsi="Calibri" w:cs="ArialNarrow"/>
          <w:szCs w:val="22"/>
        </w:rPr>
        <w:t xml:space="preserve"> incidents of verbal aggression. </w:t>
      </w:r>
      <w:r w:rsidR="009B019B">
        <w:rPr>
          <w:rFonts w:ascii="Calibri" w:hAnsi="Calibri" w:cs="ArialNarrow"/>
          <w:szCs w:val="22"/>
        </w:rPr>
        <w:t>No</w:t>
      </w:r>
      <w:r w:rsidR="0028577C">
        <w:rPr>
          <w:rFonts w:ascii="Calibri" w:hAnsi="Calibri" w:cs="ArialNarrow"/>
          <w:szCs w:val="22"/>
        </w:rPr>
        <w:t xml:space="preserve"> </w:t>
      </w:r>
      <w:r w:rsidR="00791873">
        <w:rPr>
          <w:rFonts w:ascii="Calibri" w:hAnsi="Calibri" w:cs="ArialNarrow"/>
          <w:szCs w:val="22"/>
        </w:rPr>
        <w:t>incident</w:t>
      </w:r>
      <w:r w:rsidR="009B019B">
        <w:rPr>
          <w:rFonts w:ascii="Calibri" w:hAnsi="Calibri" w:cs="ArialNarrow"/>
          <w:szCs w:val="22"/>
        </w:rPr>
        <w:t>s resulted in an injury</w:t>
      </w:r>
      <w:r w:rsidR="0028577C">
        <w:rPr>
          <w:rFonts w:ascii="Calibri" w:hAnsi="Calibri" w:cs="ArialNarrow"/>
          <w:szCs w:val="22"/>
        </w:rPr>
        <w:t>.</w:t>
      </w:r>
    </w:p>
    <w:p w:rsidR="00483D2E" w:rsidRDefault="00483D2E" w:rsidP="007C02F8">
      <w:pPr>
        <w:rPr>
          <w:rFonts w:ascii="Calibri" w:hAnsi="Calibri" w:cs="ArialNarrow"/>
          <w:szCs w:val="22"/>
        </w:rPr>
      </w:pPr>
    </w:p>
    <w:p w:rsidR="00483D2E" w:rsidRDefault="00483D2E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All Responsive Behaviour incidents continue to be reviewed by the Responsive Behaviour Team. </w:t>
      </w:r>
    </w:p>
    <w:p w:rsidR="00483D2E" w:rsidRPr="009400B4" w:rsidRDefault="00483D2E" w:rsidP="007C02F8">
      <w:pPr>
        <w:rPr>
          <w:rFonts w:ascii="Calibri" w:hAnsi="Calibri" w:cs="ArialNarrow"/>
          <w:szCs w:val="22"/>
        </w:rPr>
      </w:pPr>
    </w:p>
    <w:p w:rsidR="007C02F8" w:rsidRDefault="007C02F8" w:rsidP="007C02F8">
      <w:pPr>
        <w:rPr>
          <w:b/>
          <w:szCs w:val="22"/>
        </w:rPr>
      </w:pPr>
      <w:r>
        <w:rPr>
          <w:b/>
          <w:szCs w:val="22"/>
        </w:rPr>
        <w:t>Falls</w:t>
      </w:r>
      <w:r w:rsidR="00BF0B2B">
        <w:rPr>
          <w:b/>
          <w:szCs w:val="22"/>
        </w:rPr>
        <w:t xml:space="preserve"> </w:t>
      </w:r>
    </w:p>
    <w:p w:rsidR="00791873" w:rsidRPr="009400B4" w:rsidRDefault="00791873" w:rsidP="007C02F8">
      <w:pPr>
        <w:rPr>
          <w:b/>
          <w:szCs w:val="22"/>
        </w:rPr>
      </w:pPr>
    </w:p>
    <w:p w:rsidR="005F22C7" w:rsidRDefault="007C02F8" w:rsidP="00483D2E">
      <w:pPr>
        <w:rPr>
          <w:szCs w:val="22"/>
        </w:rPr>
      </w:pPr>
      <w:r w:rsidRPr="009400B4">
        <w:rPr>
          <w:szCs w:val="22"/>
        </w:rPr>
        <w:t>The number of falls</w:t>
      </w:r>
      <w:r w:rsidR="003C133E">
        <w:rPr>
          <w:szCs w:val="22"/>
        </w:rPr>
        <w:t xml:space="preserve"> </w:t>
      </w:r>
      <w:r w:rsidR="009B019B">
        <w:rPr>
          <w:szCs w:val="22"/>
        </w:rPr>
        <w:t xml:space="preserve">has improved since </w:t>
      </w:r>
      <w:r w:rsidR="00483D2E">
        <w:rPr>
          <w:szCs w:val="22"/>
        </w:rPr>
        <w:t>last quarter</w:t>
      </w:r>
      <w:r w:rsidR="00E249B6">
        <w:rPr>
          <w:szCs w:val="22"/>
        </w:rPr>
        <w:t xml:space="preserve"> (</w:t>
      </w:r>
      <w:r w:rsidR="009B019B">
        <w:rPr>
          <w:szCs w:val="22"/>
        </w:rPr>
        <w:t>49</w:t>
      </w:r>
      <w:r w:rsidR="003C133E">
        <w:rPr>
          <w:szCs w:val="22"/>
        </w:rPr>
        <w:t xml:space="preserve"> falls)</w:t>
      </w:r>
      <w:r w:rsidR="00E249B6">
        <w:rPr>
          <w:szCs w:val="22"/>
        </w:rPr>
        <w:t xml:space="preserve"> and </w:t>
      </w:r>
      <w:r w:rsidR="0028577C">
        <w:rPr>
          <w:szCs w:val="22"/>
        </w:rPr>
        <w:t xml:space="preserve">from the </w:t>
      </w:r>
      <w:r w:rsidR="00483D2E">
        <w:rPr>
          <w:szCs w:val="22"/>
        </w:rPr>
        <w:t>same quarter of last year</w:t>
      </w:r>
      <w:r w:rsidR="009B019B">
        <w:rPr>
          <w:szCs w:val="22"/>
        </w:rPr>
        <w:t xml:space="preserve"> (49</w:t>
      </w:r>
      <w:r w:rsidR="004623DC">
        <w:rPr>
          <w:szCs w:val="22"/>
        </w:rPr>
        <w:t xml:space="preserve"> </w:t>
      </w:r>
      <w:r w:rsidR="003C133E">
        <w:rPr>
          <w:szCs w:val="22"/>
        </w:rPr>
        <w:t>falls)</w:t>
      </w:r>
      <w:r w:rsidR="00483D2E">
        <w:rPr>
          <w:szCs w:val="22"/>
        </w:rPr>
        <w:t>.</w:t>
      </w:r>
      <w:r w:rsidRPr="009400B4">
        <w:rPr>
          <w:szCs w:val="22"/>
        </w:rPr>
        <w:t xml:space="preserve"> </w:t>
      </w:r>
      <w:r w:rsidR="00936038">
        <w:rPr>
          <w:szCs w:val="22"/>
        </w:rPr>
        <w:t>Three</w:t>
      </w:r>
      <w:r w:rsidR="004623DC">
        <w:rPr>
          <w:szCs w:val="22"/>
        </w:rPr>
        <w:t xml:space="preserve"> residents </w:t>
      </w:r>
      <w:r w:rsidR="005F22C7" w:rsidRPr="00BD0FF7">
        <w:rPr>
          <w:szCs w:val="22"/>
        </w:rPr>
        <w:t xml:space="preserve">accounted for </w:t>
      </w:r>
      <w:r w:rsidR="00936038">
        <w:rPr>
          <w:szCs w:val="22"/>
        </w:rPr>
        <w:t>28.5</w:t>
      </w:r>
      <w:r w:rsidR="00E249B6">
        <w:rPr>
          <w:szCs w:val="22"/>
        </w:rPr>
        <w:t>% of t</w:t>
      </w:r>
      <w:r w:rsidR="00BD0FF7">
        <w:rPr>
          <w:szCs w:val="22"/>
        </w:rPr>
        <w:t>he falls</w:t>
      </w:r>
      <w:r w:rsidR="004623DC">
        <w:rPr>
          <w:szCs w:val="22"/>
        </w:rPr>
        <w:t>.</w:t>
      </w:r>
      <w:r w:rsidR="00BD0FF7">
        <w:rPr>
          <w:szCs w:val="22"/>
        </w:rPr>
        <w:t xml:space="preserve"> </w:t>
      </w:r>
    </w:p>
    <w:p w:rsidR="003A274E" w:rsidRDefault="003A274E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Of the </w:t>
      </w:r>
      <w:r w:rsidR="009B019B">
        <w:rPr>
          <w:szCs w:val="22"/>
        </w:rPr>
        <w:t>35</w:t>
      </w:r>
      <w:r w:rsidR="004623DC">
        <w:rPr>
          <w:szCs w:val="22"/>
        </w:rPr>
        <w:t xml:space="preserve"> </w:t>
      </w:r>
      <w:r>
        <w:rPr>
          <w:szCs w:val="22"/>
        </w:rPr>
        <w:t>falls</w:t>
      </w:r>
      <w:r w:rsidR="004623DC">
        <w:rPr>
          <w:szCs w:val="22"/>
        </w:rPr>
        <w:t>,</w:t>
      </w:r>
      <w:r>
        <w:rPr>
          <w:szCs w:val="22"/>
        </w:rPr>
        <w:t xml:space="preserve"> </w:t>
      </w:r>
      <w:r w:rsidR="009B019B">
        <w:rPr>
          <w:szCs w:val="22"/>
        </w:rPr>
        <w:t>5</w:t>
      </w:r>
      <w:r>
        <w:rPr>
          <w:szCs w:val="22"/>
        </w:rPr>
        <w:t xml:space="preserve"> were witnessed and </w:t>
      </w:r>
      <w:r w:rsidR="009B019B">
        <w:rPr>
          <w:szCs w:val="22"/>
        </w:rPr>
        <w:t>30</w:t>
      </w:r>
      <w:r>
        <w:rPr>
          <w:szCs w:val="22"/>
        </w:rPr>
        <w:t xml:space="preserve"> were unwitnessed. </w:t>
      </w:r>
    </w:p>
    <w:p w:rsidR="003A274E" w:rsidRDefault="00936038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3</w:t>
      </w:r>
      <w:r w:rsidR="00E249B6">
        <w:rPr>
          <w:szCs w:val="22"/>
        </w:rPr>
        <w:t xml:space="preserve"> </w:t>
      </w:r>
      <w:r w:rsidR="00BF0B2B">
        <w:rPr>
          <w:szCs w:val="22"/>
        </w:rPr>
        <w:t xml:space="preserve">falls resulted in </w:t>
      </w:r>
      <w:r w:rsidR="003A274E">
        <w:rPr>
          <w:szCs w:val="22"/>
        </w:rPr>
        <w:t>minor injuri</w:t>
      </w:r>
      <w:r>
        <w:rPr>
          <w:szCs w:val="22"/>
        </w:rPr>
        <w:t>es from redness to minor laceration.</w:t>
      </w:r>
    </w:p>
    <w:p w:rsidR="003A274E" w:rsidRDefault="003A274E" w:rsidP="003A274E">
      <w:pPr>
        <w:pStyle w:val="ListParagraph"/>
        <w:rPr>
          <w:szCs w:val="22"/>
        </w:rPr>
      </w:pPr>
    </w:p>
    <w:p w:rsidR="007C02F8" w:rsidRPr="003A274E" w:rsidRDefault="007C02F8" w:rsidP="003A274E">
      <w:pPr>
        <w:pStyle w:val="ListParagraph"/>
        <w:ind w:left="0"/>
        <w:rPr>
          <w:szCs w:val="22"/>
        </w:rPr>
      </w:pPr>
      <w:r w:rsidRPr="003A274E">
        <w:rPr>
          <w:szCs w:val="22"/>
        </w:rPr>
        <w:t xml:space="preserve">All incidents </w:t>
      </w:r>
      <w:r w:rsidR="005F22C7">
        <w:rPr>
          <w:szCs w:val="22"/>
        </w:rPr>
        <w:t xml:space="preserve">continue to be </w:t>
      </w:r>
      <w:r w:rsidRPr="003A274E">
        <w:rPr>
          <w:szCs w:val="22"/>
        </w:rPr>
        <w:t>reviewed on a regular basis by the Manager Resident Care</w:t>
      </w:r>
      <w:r w:rsidR="00E249B6">
        <w:rPr>
          <w:szCs w:val="22"/>
        </w:rPr>
        <w:t xml:space="preserve"> and the mobility team</w:t>
      </w:r>
      <w:r w:rsidRPr="003A274E">
        <w:rPr>
          <w:szCs w:val="22"/>
        </w:rPr>
        <w:t xml:space="preserve"> with prevention</w:t>
      </w:r>
      <w:r w:rsidR="003A274E">
        <w:rPr>
          <w:szCs w:val="22"/>
        </w:rPr>
        <w:t xml:space="preserve"> strategies</w:t>
      </w:r>
      <w:r w:rsidR="005F22C7">
        <w:rPr>
          <w:szCs w:val="22"/>
        </w:rPr>
        <w:t xml:space="preserve"> added to the resident care plans.</w:t>
      </w:r>
      <w:r w:rsidRPr="003A274E">
        <w:rPr>
          <w:szCs w:val="22"/>
        </w:rPr>
        <w:t xml:space="preserve">  </w:t>
      </w:r>
    </w:p>
    <w:p w:rsidR="007C02F8" w:rsidRPr="009400B4" w:rsidRDefault="007C02F8" w:rsidP="007C02F8">
      <w:pPr>
        <w:rPr>
          <w:szCs w:val="22"/>
        </w:rPr>
      </w:pPr>
    </w:p>
    <w:p w:rsidR="00015F41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Medication Errors</w:t>
      </w:r>
      <w:r w:rsidR="006033F1">
        <w:rPr>
          <w:b/>
          <w:szCs w:val="22"/>
        </w:rPr>
        <w:t xml:space="preserve"> </w:t>
      </w:r>
    </w:p>
    <w:p w:rsidR="00B336A1" w:rsidRDefault="00B336A1" w:rsidP="007C02F8">
      <w:pPr>
        <w:rPr>
          <w:b/>
          <w:szCs w:val="22"/>
        </w:rPr>
      </w:pPr>
    </w:p>
    <w:p w:rsidR="00C911BC" w:rsidRDefault="00C911BC" w:rsidP="00D40080">
      <w:pPr>
        <w:rPr>
          <w:rFonts w:ascii="Calibri" w:hAnsi="Calibri" w:cs="ArialNarrow"/>
          <w:szCs w:val="22"/>
        </w:rPr>
      </w:pPr>
      <w:r>
        <w:rPr>
          <w:szCs w:val="22"/>
        </w:rPr>
        <w:t>The number of m</w:t>
      </w:r>
      <w:r w:rsidR="007C02F8">
        <w:rPr>
          <w:szCs w:val="22"/>
        </w:rPr>
        <w:t>edication errors have</w:t>
      </w:r>
      <w:r w:rsidR="007C02F8" w:rsidRPr="009400B4">
        <w:rPr>
          <w:szCs w:val="22"/>
        </w:rPr>
        <w:t xml:space="preserve"> </w:t>
      </w:r>
      <w:r w:rsidR="00BD0FF7">
        <w:rPr>
          <w:szCs w:val="22"/>
        </w:rPr>
        <w:t xml:space="preserve">increased </w:t>
      </w:r>
      <w:r w:rsidR="005B7123">
        <w:rPr>
          <w:szCs w:val="22"/>
        </w:rPr>
        <w:t xml:space="preserve">this </w:t>
      </w:r>
      <w:r w:rsidR="007C02F8" w:rsidRPr="009400B4">
        <w:rPr>
          <w:szCs w:val="22"/>
        </w:rPr>
        <w:t>quarter</w:t>
      </w:r>
      <w:r w:rsidR="00F97E01">
        <w:rPr>
          <w:szCs w:val="22"/>
        </w:rPr>
        <w:t xml:space="preserve"> </w:t>
      </w:r>
      <w:r w:rsidR="00D40080">
        <w:rPr>
          <w:szCs w:val="22"/>
        </w:rPr>
        <w:t xml:space="preserve">when compared </w:t>
      </w:r>
      <w:r>
        <w:rPr>
          <w:szCs w:val="22"/>
        </w:rPr>
        <w:t xml:space="preserve">to </w:t>
      </w:r>
      <w:r w:rsidR="00B336A1">
        <w:rPr>
          <w:szCs w:val="22"/>
        </w:rPr>
        <w:t xml:space="preserve">the same period of last year. </w:t>
      </w:r>
      <w:r>
        <w:rPr>
          <w:rFonts w:ascii="Calibri" w:hAnsi="Calibri" w:cs="ArialNarrow"/>
          <w:szCs w:val="22"/>
        </w:rPr>
        <w:t>The number of incidents per wing: A –</w:t>
      </w:r>
      <w:r w:rsidR="00D40080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 xml:space="preserve">, B – </w:t>
      </w:r>
      <w:r w:rsidR="00D40080">
        <w:rPr>
          <w:rFonts w:ascii="Calibri" w:hAnsi="Calibri" w:cs="ArialNarrow"/>
          <w:szCs w:val="22"/>
        </w:rPr>
        <w:t>13</w:t>
      </w:r>
      <w:r>
        <w:rPr>
          <w:rFonts w:ascii="Calibri" w:hAnsi="Calibri" w:cs="ArialNarrow"/>
          <w:szCs w:val="22"/>
        </w:rPr>
        <w:t xml:space="preserve">, C – </w:t>
      </w:r>
      <w:r w:rsidR="00D40080">
        <w:rPr>
          <w:rFonts w:ascii="Calibri" w:hAnsi="Calibri" w:cs="ArialNarrow"/>
          <w:szCs w:val="22"/>
        </w:rPr>
        <w:t>3</w:t>
      </w:r>
      <w:r>
        <w:rPr>
          <w:rFonts w:ascii="Calibri" w:hAnsi="Calibri" w:cs="ArialNarrow"/>
          <w:szCs w:val="22"/>
        </w:rPr>
        <w:t xml:space="preserve">, D – </w:t>
      </w:r>
      <w:r w:rsidR="00D40080">
        <w:rPr>
          <w:rFonts w:ascii="Calibri" w:hAnsi="Calibri" w:cs="ArialNarrow"/>
          <w:szCs w:val="22"/>
        </w:rPr>
        <w:t>4</w:t>
      </w:r>
      <w:r>
        <w:rPr>
          <w:rFonts w:ascii="Calibri" w:hAnsi="Calibri" w:cs="ArialNarrow"/>
          <w:szCs w:val="22"/>
        </w:rPr>
        <w:t xml:space="preserve"> and E – </w:t>
      </w:r>
      <w:r w:rsidR="00D40080">
        <w:rPr>
          <w:rFonts w:ascii="Calibri" w:hAnsi="Calibri" w:cs="ArialNarrow"/>
          <w:szCs w:val="22"/>
        </w:rPr>
        <w:t>16</w:t>
      </w:r>
      <w:r>
        <w:rPr>
          <w:rFonts w:ascii="Calibri" w:hAnsi="Calibri" w:cs="ArialNarrow"/>
          <w:szCs w:val="22"/>
        </w:rPr>
        <w:t xml:space="preserve">.  </w:t>
      </w:r>
      <w:r w:rsidR="00D40080">
        <w:rPr>
          <w:rFonts w:ascii="Calibri" w:hAnsi="Calibri" w:cs="ArialNarrow"/>
          <w:szCs w:val="22"/>
        </w:rPr>
        <w:t>October had</w:t>
      </w:r>
      <w:r>
        <w:rPr>
          <w:rFonts w:ascii="Calibri" w:hAnsi="Calibri" w:cs="ArialNarrow"/>
          <w:szCs w:val="22"/>
        </w:rPr>
        <w:t xml:space="preserve"> </w:t>
      </w:r>
      <w:r w:rsidR="00D40080" w:rsidRPr="00D40080">
        <w:rPr>
          <w:rFonts w:ascii="Calibri" w:hAnsi="Calibri" w:cs="ArialNarrow"/>
          <w:szCs w:val="22"/>
        </w:rPr>
        <w:t>18</w:t>
      </w:r>
      <w:r w:rsidR="00D40080">
        <w:rPr>
          <w:rFonts w:ascii="Calibri" w:hAnsi="Calibri" w:cs="ArialNarrow"/>
          <w:szCs w:val="22"/>
        </w:rPr>
        <w:t xml:space="preserve"> errors, November had </w:t>
      </w:r>
      <w:r w:rsidR="00D40080" w:rsidRPr="00D40080">
        <w:rPr>
          <w:rFonts w:ascii="Calibri" w:hAnsi="Calibri" w:cs="ArialNarrow"/>
          <w:szCs w:val="22"/>
        </w:rPr>
        <w:t>14</w:t>
      </w:r>
      <w:r w:rsidR="00D40080">
        <w:rPr>
          <w:rFonts w:ascii="Calibri" w:hAnsi="Calibri" w:cs="ArialNarrow"/>
          <w:szCs w:val="22"/>
        </w:rPr>
        <w:t xml:space="preserve"> and December had </w:t>
      </w:r>
      <w:r w:rsidR="00D40080" w:rsidRPr="00D40080">
        <w:rPr>
          <w:rFonts w:ascii="Calibri" w:hAnsi="Calibri" w:cs="ArialNarrow"/>
          <w:szCs w:val="22"/>
        </w:rPr>
        <w:t>12</w:t>
      </w:r>
      <w:r w:rsidR="00D40080">
        <w:rPr>
          <w:rFonts w:ascii="Calibri" w:hAnsi="Calibri" w:cs="ArialNarrow"/>
          <w:szCs w:val="22"/>
        </w:rPr>
        <w:t xml:space="preserve"> errors. </w:t>
      </w:r>
    </w:p>
    <w:p w:rsidR="00D40080" w:rsidRDefault="00D40080" w:rsidP="00D40080">
      <w:pPr>
        <w:rPr>
          <w:rFonts w:ascii="Calibri" w:hAnsi="Calibri" w:cs="ArialNarrow"/>
          <w:szCs w:val="22"/>
        </w:rPr>
      </w:pPr>
    </w:p>
    <w:p w:rsidR="00D40080" w:rsidRPr="00936038" w:rsidRDefault="00D40080" w:rsidP="007C02F8">
      <w:pPr>
        <w:rPr>
          <w:szCs w:val="22"/>
        </w:rPr>
      </w:pPr>
      <w:r>
        <w:rPr>
          <w:szCs w:val="22"/>
        </w:rPr>
        <w:t>Last quarter m</w:t>
      </w:r>
      <w:r w:rsidR="005B7123">
        <w:rPr>
          <w:szCs w:val="22"/>
        </w:rPr>
        <w:t>issed doses account</w:t>
      </w:r>
      <w:r>
        <w:rPr>
          <w:szCs w:val="22"/>
        </w:rPr>
        <w:t>ed</w:t>
      </w:r>
      <w:r w:rsidR="005B7123">
        <w:rPr>
          <w:szCs w:val="22"/>
        </w:rPr>
        <w:t xml:space="preserve"> for </w:t>
      </w:r>
      <w:r w:rsidR="00CD73F5">
        <w:rPr>
          <w:szCs w:val="22"/>
        </w:rPr>
        <w:t>43</w:t>
      </w:r>
      <w:r w:rsidR="004175E1">
        <w:rPr>
          <w:szCs w:val="22"/>
        </w:rPr>
        <w:t xml:space="preserve">% </w:t>
      </w:r>
      <w:r>
        <w:rPr>
          <w:szCs w:val="22"/>
        </w:rPr>
        <w:t xml:space="preserve">of errors and this quarter missed doses accounted for 18% </w:t>
      </w:r>
      <w:r w:rsidR="004175E1">
        <w:rPr>
          <w:szCs w:val="22"/>
        </w:rPr>
        <w:t>of all incidents</w:t>
      </w:r>
      <w:r>
        <w:rPr>
          <w:szCs w:val="22"/>
        </w:rPr>
        <w:t xml:space="preserve"> – a significant improvement. </w:t>
      </w:r>
      <w:r w:rsidR="004175E1">
        <w:rPr>
          <w:szCs w:val="22"/>
        </w:rPr>
        <w:t xml:space="preserve"> </w:t>
      </w:r>
      <w:r w:rsidRPr="00936038">
        <w:rPr>
          <w:i/>
          <w:szCs w:val="22"/>
        </w:rPr>
        <w:t>Other</w:t>
      </w:r>
      <w:r w:rsidRPr="00936038">
        <w:rPr>
          <w:szCs w:val="22"/>
        </w:rPr>
        <w:t xml:space="preserve"> accounted for 47.75 of all med errors – example </w:t>
      </w:r>
      <w:r w:rsidR="002A4813" w:rsidRPr="00936038">
        <w:rPr>
          <w:szCs w:val="22"/>
        </w:rPr>
        <w:t>of other includes</w:t>
      </w:r>
      <w:r w:rsidR="00B336A1" w:rsidRPr="00936038">
        <w:rPr>
          <w:szCs w:val="22"/>
        </w:rPr>
        <w:t xml:space="preserve"> </w:t>
      </w:r>
      <w:r w:rsidR="002A4813" w:rsidRPr="00936038">
        <w:rPr>
          <w:lang w:val="en-CA"/>
        </w:rPr>
        <w:t xml:space="preserve">process step errors where by second checks catch and fix the error prior to it reaching the resident, and one was when a staff left voltarin out and a resident tasted it. </w:t>
      </w:r>
    </w:p>
    <w:p w:rsidR="00D40080" w:rsidRDefault="00D40080" w:rsidP="007C02F8">
      <w:pPr>
        <w:rPr>
          <w:szCs w:val="22"/>
        </w:rPr>
      </w:pPr>
    </w:p>
    <w:p w:rsidR="00B6263D" w:rsidRDefault="004175E1" w:rsidP="007C02F8">
      <w:pPr>
        <w:rPr>
          <w:szCs w:val="22"/>
        </w:rPr>
      </w:pPr>
      <w:r>
        <w:rPr>
          <w:szCs w:val="22"/>
        </w:rPr>
        <w:t xml:space="preserve"> </w:t>
      </w:r>
      <w:r w:rsidR="005B7123">
        <w:rPr>
          <w:szCs w:val="22"/>
        </w:rPr>
        <w:t>All errors are review</w:t>
      </w:r>
      <w:r w:rsidR="00B336A1">
        <w:rPr>
          <w:szCs w:val="22"/>
        </w:rPr>
        <w:t>ed</w:t>
      </w:r>
      <w:r w:rsidR="005B7123">
        <w:rPr>
          <w:szCs w:val="22"/>
        </w:rPr>
        <w:t xml:space="preserve"> with </w:t>
      </w:r>
      <w:r w:rsidR="00B336A1">
        <w:rPr>
          <w:szCs w:val="22"/>
        </w:rPr>
        <w:t xml:space="preserve">the </w:t>
      </w:r>
      <w:r w:rsidR="005B7123">
        <w:rPr>
          <w:szCs w:val="22"/>
        </w:rPr>
        <w:t>staff involved in the errors.  There were no errors resulting in injury to residents</w:t>
      </w:r>
      <w:r w:rsidR="00CD73F5">
        <w:rPr>
          <w:szCs w:val="22"/>
        </w:rPr>
        <w:t>.</w:t>
      </w:r>
    </w:p>
    <w:p w:rsidR="005B7123" w:rsidRDefault="005B7123" w:rsidP="007C02F8">
      <w:pPr>
        <w:rPr>
          <w:szCs w:val="22"/>
        </w:rPr>
      </w:pPr>
    </w:p>
    <w:p w:rsidR="00CA7A60" w:rsidRDefault="00D40080" w:rsidP="007C02F8">
      <w:pPr>
        <w:rPr>
          <w:szCs w:val="22"/>
        </w:rPr>
      </w:pPr>
      <w:r>
        <w:rPr>
          <w:szCs w:val="22"/>
        </w:rPr>
        <w:lastRenderedPageBreak/>
        <w:t>Part way into this quarter</w:t>
      </w:r>
      <w:r w:rsidR="00B336A1">
        <w:rPr>
          <w:szCs w:val="22"/>
        </w:rPr>
        <w:t xml:space="preserve"> a</w:t>
      </w:r>
      <w:r>
        <w:rPr>
          <w:szCs w:val="22"/>
        </w:rPr>
        <w:t xml:space="preserve"> </w:t>
      </w:r>
      <w:r w:rsidR="009B2164">
        <w:rPr>
          <w:szCs w:val="22"/>
        </w:rPr>
        <w:t>detailed investigation occurred</w:t>
      </w:r>
      <w:r>
        <w:rPr>
          <w:szCs w:val="22"/>
        </w:rPr>
        <w:t xml:space="preserve"> when the previous quarters data was reviewed. I</w:t>
      </w:r>
      <w:r w:rsidR="009B2164">
        <w:rPr>
          <w:szCs w:val="22"/>
        </w:rPr>
        <w:t xml:space="preserve">t was </w:t>
      </w:r>
      <w:r w:rsidR="00CA7A60">
        <w:rPr>
          <w:szCs w:val="22"/>
        </w:rPr>
        <w:t xml:space="preserve">determined </w:t>
      </w:r>
      <w:r w:rsidR="00CE3D0C">
        <w:rPr>
          <w:szCs w:val="22"/>
        </w:rPr>
        <w:t xml:space="preserve">that a practice was occurring on the evening </w:t>
      </w:r>
      <w:r>
        <w:rPr>
          <w:szCs w:val="22"/>
        </w:rPr>
        <w:t>shift, which</w:t>
      </w:r>
      <w:r w:rsidR="00CE3D0C">
        <w:rPr>
          <w:szCs w:val="22"/>
        </w:rPr>
        <w:t xml:space="preserve"> </w:t>
      </w:r>
      <w:r>
        <w:rPr>
          <w:szCs w:val="22"/>
        </w:rPr>
        <w:t>was resulting in medication errors</w:t>
      </w:r>
      <w:r w:rsidR="00CE3D0C">
        <w:rPr>
          <w:szCs w:val="22"/>
        </w:rPr>
        <w:t xml:space="preserve">. </w:t>
      </w:r>
      <w:r>
        <w:rPr>
          <w:szCs w:val="22"/>
        </w:rPr>
        <w:t>The Nurse Manager at the time</w:t>
      </w:r>
      <w:r w:rsidR="009B2164">
        <w:rPr>
          <w:szCs w:val="22"/>
        </w:rPr>
        <w:t xml:space="preserve"> reviewed safe medication administration practices and met with the staff. Practice expectations were reviewed and </w:t>
      </w:r>
      <w:r w:rsidR="00427D1B">
        <w:rPr>
          <w:szCs w:val="22"/>
        </w:rPr>
        <w:t>suppertime</w:t>
      </w:r>
      <w:r w:rsidR="00CA7A60">
        <w:rPr>
          <w:szCs w:val="22"/>
        </w:rPr>
        <w:t xml:space="preserve"> med administration</w:t>
      </w:r>
      <w:r w:rsidR="009B2164">
        <w:rPr>
          <w:szCs w:val="22"/>
        </w:rPr>
        <w:t xml:space="preserve"> </w:t>
      </w:r>
      <w:r w:rsidR="00CE3D0C">
        <w:rPr>
          <w:szCs w:val="22"/>
        </w:rPr>
        <w:t>process has been reinforced to reflect best practice.</w:t>
      </w:r>
    </w:p>
    <w:p w:rsidR="00CA7A60" w:rsidRDefault="00CA7A60" w:rsidP="007C02F8">
      <w:pPr>
        <w:rPr>
          <w:szCs w:val="22"/>
        </w:rPr>
      </w:pPr>
    </w:p>
    <w:p w:rsidR="00D40080" w:rsidRDefault="00D40080" w:rsidP="007C02F8">
      <w:pPr>
        <w:rPr>
          <w:szCs w:val="22"/>
        </w:rPr>
      </w:pPr>
      <w:r>
        <w:rPr>
          <w:szCs w:val="22"/>
        </w:rPr>
        <w:t xml:space="preserve">There has been a heighten attention and close monitoring of medication practice which has resulted in increased staff reporting, contributing to a culture of safety. </w:t>
      </w:r>
    </w:p>
    <w:p w:rsidR="00CA7A60" w:rsidRDefault="00CA7A60" w:rsidP="007C02F8">
      <w:pPr>
        <w:rPr>
          <w:szCs w:val="22"/>
        </w:rPr>
      </w:pPr>
    </w:p>
    <w:p w:rsidR="00CA7A60" w:rsidRDefault="00CA7A60" w:rsidP="007C02F8">
      <w:pPr>
        <w:rPr>
          <w:szCs w:val="22"/>
        </w:rPr>
      </w:pPr>
      <w:r>
        <w:rPr>
          <w:szCs w:val="22"/>
        </w:rPr>
        <w:t xml:space="preserve">This will continue to be closely monitored. </w:t>
      </w:r>
    </w:p>
    <w:p w:rsidR="00CD73F5" w:rsidRDefault="00CD73F5" w:rsidP="007C02F8">
      <w:pPr>
        <w:rPr>
          <w:b/>
          <w:szCs w:val="22"/>
        </w:rPr>
      </w:pPr>
    </w:p>
    <w:p w:rsidR="007C02F8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Other Incidents</w:t>
      </w:r>
      <w:r w:rsidR="00A3371A">
        <w:rPr>
          <w:b/>
          <w:szCs w:val="22"/>
        </w:rPr>
        <w:t xml:space="preserve"> </w:t>
      </w:r>
    </w:p>
    <w:p w:rsidR="00791873" w:rsidRPr="009400B4" w:rsidRDefault="00791873" w:rsidP="007C02F8">
      <w:pPr>
        <w:rPr>
          <w:b/>
          <w:szCs w:val="22"/>
        </w:rPr>
      </w:pPr>
    </w:p>
    <w:p w:rsidR="007E6268" w:rsidRPr="000A5242" w:rsidRDefault="000A5242" w:rsidP="002958B0">
      <w:pPr>
        <w:rPr>
          <w:szCs w:val="22"/>
        </w:rPr>
      </w:pPr>
      <w:r>
        <w:rPr>
          <w:szCs w:val="22"/>
        </w:rPr>
        <w:t xml:space="preserve">Of the </w:t>
      </w:r>
      <w:r w:rsidR="00791873">
        <w:rPr>
          <w:szCs w:val="22"/>
        </w:rPr>
        <w:t>49</w:t>
      </w:r>
      <w:r w:rsidR="00E70EC2">
        <w:rPr>
          <w:szCs w:val="22"/>
        </w:rPr>
        <w:t xml:space="preserve"> incidents classified as other, </w:t>
      </w:r>
      <w:r w:rsidR="00791873">
        <w:rPr>
          <w:szCs w:val="22"/>
        </w:rPr>
        <w:t>7</w:t>
      </w:r>
      <w:r w:rsidR="00CD73F5">
        <w:rPr>
          <w:szCs w:val="22"/>
        </w:rPr>
        <w:t xml:space="preserve"> choking incidents</w:t>
      </w:r>
      <w:r w:rsidR="00E70EC2">
        <w:rPr>
          <w:szCs w:val="22"/>
        </w:rPr>
        <w:t>,</w:t>
      </w:r>
      <w:r w:rsidR="00CD73F5">
        <w:rPr>
          <w:szCs w:val="22"/>
        </w:rPr>
        <w:t xml:space="preserve"> 3</w:t>
      </w:r>
      <w:r>
        <w:rPr>
          <w:szCs w:val="22"/>
        </w:rPr>
        <w:t xml:space="preserve"> were </w:t>
      </w:r>
      <w:r w:rsidR="007C02F8" w:rsidRPr="009400B4">
        <w:rPr>
          <w:szCs w:val="22"/>
        </w:rPr>
        <w:t xml:space="preserve">elopement, </w:t>
      </w:r>
      <w:r w:rsidR="00791873">
        <w:rPr>
          <w:szCs w:val="22"/>
        </w:rPr>
        <w:t>25</w:t>
      </w:r>
      <w:r w:rsidR="00BD0FF7">
        <w:rPr>
          <w:szCs w:val="22"/>
        </w:rPr>
        <w:t xml:space="preserve"> were near miss </w:t>
      </w:r>
      <w:r w:rsidR="00E249B6">
        <w:rPr>
          <w:szCs w:val="22"/>
        </w:rPr>
        <w:t>incidents</w:t>
      </w:r>
      <w:r w:rsidR="008D5EA6">
        <w:rPr>
          <w:szCs w:val="22"/>
        </w:rPr>
        <w:t xml:space="preserve">, and </w:t>
      </w:r>
      <w:r w:rsidR="00E70EC2">
        <w:rPr>
          <w:szCs w:val="22"/>
        </w:rPr>
        <w:t>2</w:t>
      </w:r>
      <w:r w:rsidR="00791873">
        <w:rPr>
          <w:szCs w:val="22"/>
        </w:rPr>
        <w:t>5</w:t>
      </w:r>
      <w:r w:rsidR="008D5EA6">
        <w:rPr>
          <w:szCs w:val="22"/>
        </w:rPr>
        <w:t xml:space="preserve"> other (e</w:t>
      </w:r>
      <w:r w:rsidR="00E70EC2">
        <w:rPr>
          <w:szCs w:val="22"/>
        </w:rPr>
        <w:t>g</w:t>
      </w:r>
      <w:r w:rsidR="008D5EA6">
        <w:rPr>
          <w:szCs w:val="22"/>
        </w:rPr>
        <w:t>.</w:t>
      </w:r>
      <w:r w:rsidR="00070BD6">
        <w:rPr>
          <w:szCs w:val="22"/>
        </w:rPr>
        <w:t xml:space="preserve"> Resident grabbed staff member’s buttocks, Resident called 911 instead of 411, missing item, wrong meal texture sent to wing</w:t>
      </w:r>
      <w:r w:rsidR="008D5EA6">
        <w:rPr>
          <w:szCs w:val="22"/>
        </w:rPr>
        <w:t>)</w:t>
      </w:r>
    </w:p>
    <w:p w:rsidR="008B5A9E" w:rsidRDefault="008B5A9E" w:rsidP="00D70818">
      <w:pPr>
        <w:rPr>
          <w:b/>
          <w:sz w:val="24"/>
        </w:rPr>
      </w:pPr>
    </w:p>
    <w:p w:rsidR="008B5A9E" w:rsidRDefault="008B5A9E" w:rsidP="00D70818">
      <w:pPr>
        <w:rPr>
          <w:b/>
          <w:sz w:val="24"/>
        </w:rPr>
      </w:pPr>
    </w:p>
    <w:p w:rsidR="004A63A6" w:rsidRDefault="00E964A8" w:rsidP="00D70818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</w:r>
      <w:r w:rsidR="00D70818">
        <w:rPr>
          <w:b/>
          <w:sz w:val="24"/>
        </w:rPr>
        <w:t>Shoreham Village</w:t>
      </w:r>
      <w:r w:rsidR="00D70818" w:rsidRPr="008A1497">
        <w:rPr>
          <w:b/>
          <w:sz w:val="24"/>
        </w:rPr>
        <w:t xml:space="preserve"> - Resident</w:t>
      </w:r>
      <w:r w:rsidR="00D70818" w:rsidRPr="008A1497">
        <w:rPr>
          <w:b/>
          <w:bCs/>
          <w:i/>
          <w:iCs/>
          <w:sz w:val="24"/>
        </w:rPr>
        <w:t xml:space="preserve"> </w:t>
      </w:r>
      <w:r w:rsidR="00D70818" w:rsidRPr="008A1497">
        <w:rPr>
          <w:b/>
          <w:sz w:val="24"/>
        </w:rPr>
        <w:t>Infection Report – Q</w:t>
      </w:r>
      <w:r w:rsidR="003141E3">
        <w:rPr>
          <w:b/>
          <w:sz w:val="24"/>
        </w:rPr>
        <w:t>2</w:t>
      </w:r>
      <w:r w:rsidR="008B5A9E">
        <w:rPr>
          <w:b/>
          <w:sz w:val="24"/>
        </w:rPr>
        <w:t xml:space="preserve"> </w:t>
      </w:r>
      <w:r w:rsidR="003141E3">
        <w:rPr>
          <w:b/>
          <w:sz w:val="24"/>
        </w:rPr>
        <w:t>July</w:t>
      </w:r>
      <w:r w:rsidR="008B5A9E">
        <w:rPr>
          <w:b/>
          <w:sz w:val="24"/>
        </w:rPr>
        <w:t xml:space="preserve"> </w:t>
      </w:r>
      <w:r w:rsidR="002802F2" w:rsidRPr="002802F2">
        <w:rPr>
          <w:b/>
        </w:rPr>
        <w:t xml:space="preserve">- </w:t>
      </w:r>
      <w:r w:rsidR="002A3CF7">
        <w:rPr>
          <w:b/>
        </w:rPr>
        <w:t xml:space="preserve">September </w:t>
      </w:r>
      <w:r w:rsidR="00D865FD">
        <w:rPr>
          <w:b/>
        </w:rPr>
        <w:t>2021/22</w:t>
      </w:r>
    </w:p>
    <w:p w:rsidR="00E964A8" w:rsidRPr="008A1497" w:rsidRDefault="00E964A8" w:rsidP="00D70818">
      <w:pPr>
        <w:rPr>
          <w:b/>
          <w:sz w:val="24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55"/>
        <w:gridCol w:w="1480"/>
        <w:gridCol w:w="1480"/>
        <w:gridCol w:w="1480"/>
        <w:gridCol w:w="1390"/>
        <w:gridCol w:w="1390"/>
      </w:tblGrid>
      <w:tr w:rsidR="002A3CF7" w:rsidTr="005B5C4A">
        <w:tc>
          <w:tcPr>
            <w:tcW w:w="2355" w:type="dxa"/>
          </w:tcPr>
          <w:p w:rsidR="002A3CF7" w:rsidRPr="00F05E23" w:rsidRDefault="002A3CF7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Total # of In</w:t>
            </w:r>
            <w:r>
              <w:rPr>
                <w:rFonts w:ascii="Calibri" w:hAnsi="Calibri"/>
                <w:b/>
                <w:bCs/>
                <w:color w:val="000000"/>
              </w:rPr>
              <w:t>fections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 xml:space="preserve"> Per Quarter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2A3CF7" w:rsidRDefault="002A3CF7" w:rsidP="009F061E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4E19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  <w:p w:rsidR="002A3CF7" w:rsidRPr="008E070D" w:rsidRDefault="00D865FD" w:rsidP="009F061E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0" w:type="dxa"/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2A3CF7" w:rsidRPr="008E070D" w:rsidRDefault="00D865FD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2A3CF7" w:rsidRDefault="002A3CF7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2A3CF7" w:rsidRPr="008E070D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2A3CF7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>Respiratory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jc w:val="center"/>
            </w:pPr>
            <w:r>
              <w:t>4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0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Urinary Tract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4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6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Skin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Gastrointestinal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>Other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jc w:val="center"/>
            </w:pPr>
            <w:r>
              <w:t>6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3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/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Total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jc w:val="center"/>
            </w:pPr>
            <w:r>
              <w:t>14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11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9</w:t>
            </w: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506351" w:rsidTr="005B5C4A">
        <w:tc>
          <w:tcPr>
            <w:tcW w:w="8185" w:type="dxa"/>
            <w:gridSpan w:val="5"/>
            <w:shd w:val="clear" w:color="auto" w:fill="BFBFBF" w:themeFill="background1" w:themeFillShade="BF"/>
          </w:tcPr>
          <w:p w:rsidR="00506351" w:rsidRDefault="00506351" w:rsidP="00506351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:rsidR="00506351" w:rsidRDefault="00506351" w:rsidP="00506351">
            <w:pPr>
              <w:jc w:val="center"/>
            </w:pPr>
          </w:p>
        </w:tc>
      </w:tr>
      <w:tr w:rsidR="00506351" w:rsidTr="005B5C4A">
        <w:tc>
          <w:tcPr>
            <w:tcW w:w="2355" w:type="dxa"/>
          </w:tcPr>
          <w:p w:rsidR="00506351" w:rsidRPr="00F05E23" w:rsidRDefault="00506351" w:rsidP="00506351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>Per 1000 Resident Days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506351" w:rsidRPr="009F061E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F061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4E19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  <w:p w:rsidR="00506351" w:rsidRPr="008E070D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0" w:type="dxa"/>
          </w:tcPr>
          <w:p w:rsidR="00506351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506351" w:rsidRPr="008E070D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506351" w:rsidRDefault="00506351" w:rsidP="00506351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506351" w:rsidRPr="008E070D" w:rsidRDefault="00506351" w:rsidP="00506351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506351" w:rsidRPr="008E070D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>Respiratory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D34AD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0.52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0.64</w:t>
            </w:r>
          </w:p>
        </w:tc>
        <w:tc>
          <w:tcPr>
            <w:tcW w:w="1480" w:type="dxa"/>
          </w:tcPr>
          <w:p w:rsidR="00A53D0F" w:rsidRPr="00FB190F" w:rsidRDefault="00C532F8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390" w:type="dxa"/>
          </w:tcPr>
          <w:p w:rsidR="00A53D0F" w:rsidRDefault="00BB5A73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0.12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Urinary Tract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D34AD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0.26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0.64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.52</w:t>
            </w:r>
          </w:p>
        </w:tc>
        <w:tc>
          <w:tcPr>
            <w:tcW w:w="1390" w:type="dxa"/>
          </w:tcPr>
          <w:p w:rsidR="00A53D0F" w:rsidRDefault="00BB5A73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0.77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Skin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D34AD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0.26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1.28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.26</w:t>
            </w:r>
          </w:p>
        </w:tc>
        <w:tc>
          <w:tcPr>
            <w:tcW w:w="1390" w:type="dxa"/>
          </w:tcPr>
          <w:p w:rsidR="00A53D0F" w:rsidRDefault="00F12944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0.26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Gastrointestinal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D34AD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0.39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0.00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.13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>Other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ind w:left="-108"/>
              <w:jc w:val="center"/>
            </w:pPr>
            <w:r>
              <w:t>0.39</w:t>
            </w:r>
          </w:p>
        </w:tc>
        <w:tc>
          <w:tcPr>
            <w:tcW w:w="1480" w:type="dxa"/>
          </w:tcPr>
          <w:p w:rsidR="00A53D0F" w:rsidRDefault="00A53D0F" w:rsidP="00A53D0F">
            <w:pPr>
              <w:ind w:left="-120" w:right="-33"/>
              <w:jc w:val="center"/>
            </w:pPr>
            <w:r>
              <w:t>0.26</w:t>
            </w:r>
          </w:p>
        </w:tc>
        <w:tc>
          <w:tcPr>
            <w:tcW w:w="1480" w:type="dxa"/>
          </w:tcPr>
          <w:p w:rsidR="00A53D0F" w:rsidRDefault="00B20879" w:rsidP="00A53D0F">
            <w:pPr>
              <w:ind w:left="-108"/>
              <w:jc w:val="center"/>
            </w:pPr>
            <w:r>
              <w:t>.39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/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lastRenderedPageBreak/>
              <w:t xml:space="preserve">Total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D34AD0" w:rsidP="00A53D0F">
            <w:pPr>
              <w:ind w:left="-108"/>
              <w:jc w:val="center"/>
            </w:pPr>
            <w:r>
              <w:t>1.83</w:t>
            </w:r>
          </w:p>
        </w:tc>
        <w:tc>
          <w:tcPr>
            <w:tcW w:w="1480" w:type="dxa"/>
          </w:tcPr>
          <w:p w:rsidR="00A53D0F" w:rsidRDefault="00A53D0F" w:rsidP="00A53D0F">
            <w:pPr>
              <w:ind w:left="-108"/>
              <w:jc w:val="center"/>
            </w:pPr>
            <w:r>
              <w:t>2.82</w:t>
            </w:r>
          </w:p>
        </w:tc>
        <w:tc>
          <w:tcPr>
            <w:tcW w:w="1480" w:type="dxa"/>
          </w:tcPr>
          <w:p w:rsidR="00A53D0F" w:rsidRDefault="00B20879" w:rsidP="00A53D0F">
            <w:pPr>
              <w:ind w:left="-108"/>
              <w:jc w:val="center"/>
            </w:pPr>
            <w:r>
              <w:t>1.29</w:t>
            </w:r>
          </w:p>
        </w:tc>
        <w:tc>
          <w:tcPr>
            <w:tcW w:w="1390" w:type="dxa"/>
          </w:tcPr>
          <w:p w:rsidR="00A53D0F" w:rsidRDefault="00F12944" w:rsidP="00A53D0F">
            <w:pPr>
              <w:ind w:left="-108"/>
              <w:jc w:val="center"/>
            </w:pPr>
            <w:r>
              <w:t>1.14</w:t>
            </w:r>
          </w:p>
        </w:tc>
        <w:tc>
          <w:tcPr>
            <w:tcW w:w="1390" w:type="dxa"/>
          </w:tcPr>
          <w:p w:rsidR="00A53D0F" w:rsidRDefault="00A53D0F" w:rsidP="00A53D0F">
            <w:pPr>
              <w:ind w:left="-108"/>
              <w:jc w:val="center"/>
            </w:pPr>
          </w:p>
        </w:tc>
      </w:tr>
    </w:tbl>
    <w:p w:rsidR="00D70818" w:rsidRDefault="00D70818" w:rsidP="00D70818"/>
    <w:p w:rsidR="00E964A8" w:rsidRDefault="00E964A8" w:rsidP="00D70818"/>
    <w:p w:rsidR="00D70818" w:rsidRDefault="00E964A8" w:rsidP="00D70818"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818" w:rsidRDefault="00D70818" w:rsidP="00D70818"/>
    <w:p w:rsidR="00D70818" w:rsidRDefault="00D70818" w:rsidP="00D70818"/>
    <w:p w:rsidR="00D70818" w:rsidRDefault="00D70818" w:rsidP="00D70818">
      <w:r>
        <w:rPr>
          <w:noProof/>
          <w:lang w:val="en-CA" w:eastAsia="en-CA"/>
        </w:rPr>
        <w:drawing>
          <wp:inline distT="0" distB="0" distL="0" distR="0">
            <wp:extent cx="6112873" cy="3317875"/>
            <wp:effectExtent l="0" t="0" r="2540" b="158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0818" w:rsidRDefault="00D70818" w:rsidP="00D70818"/>
    <w:p w:rsidR="00D70818" w:rsidRDefault="00D70818" w:rsidP="00D70818">
      <w:pPr>
        <w:rPr>
          <w:b/>
        </w:rPr>
      </w:pPr>
      <w:r w:rsidRPr="00A72ADF">
        <w:rPr>
          <w:b/>
        </w:rPr>
        <w:t>Comments:</w:t>
      </w:r>
    </w:p>
    <w:p w:rsidR="00D70818" w:rsidRPr="00BD20D8" w:rsidRDefault="00D70818" w:rsidP="00D70818">
      <w:pPr>
        <w:rPr>
          <w:b/>
          <w:sz w:val="16"/>
          <w:szCs w:val="16"/>
        </w:rPr>
      </w:pPr>
    </w:p>
    <w:p w:rsidR="002673C2" w:rsidRDefault="002673C2" w:rsidP="00D70818"/>
    <w:p w:rsidR="00D36E35" w:rsidRPr="00D36E35" w:rsidRDefault="00824EE2" w:rsidP="00D70818">
      <w:r>
        <w:t>The tota</w:t>
      </w:r>
      <w:r w:rsidR="000844CD">
        <w:t xml:space="preserve">l </w:t>
      </w:r>
      <w:r w:rsidR="00F12944">
        <w:t>number of infections for the 3rd</w:t>
      </w:r>
      <w:r>
        <w:t xml:space="preserve"> quarter </w:t>
      </w:r>
      <w:r w:rsidR="00F92D1D">
        <w:t>(</w:t>
      </w:r>
      <w:r w:rsidR="00F12944">
        <w:t>9</w:t>
      </w:r>
      <w:r w:rsidR="00F92D1D">
        <w:t>)</w:t>
      </w:r>
      <w:r w:rsidR="001253A1">
        <w:t xml:space="preserve"> shows a</w:t>
      </w:r>
      <w:r w:rsidR="00C532F8">
        <w:t xml:space="preserve"> de</w:t>
      </w:r>
      <w:r w:rsidR="008537FE">
        <w:t>crease</w:t>
      </w:r>
      <w:r w:rsidR="00990981">
        <w:t xml:space="preserve"> over </w:t>
      </w:r>
      <w:r w:rsidR="007552D3">
        <w:t>the last quarter</w:t>
      </w:r>
      <w:r w:rsidR="00F12944">
        <w:t xml:space="preserve"> (10</w:t>
      </w:r>
      <w:r w:rsidR="007552D3">
        <w:t xml:space="preserve">) and </w:t>
      </w:r>
      <w:r w:rsidR="00990981">
        <w:t>the</w:t>
      </w:r>
      <w:r w:rsidR="002673C2">
        <w:t xml:space="preserve"> same period of last year at </w:t>
      </w:r>
      <w:r w:rsidR="00F92D1D">
        <w:t>(</w:t>
      </w:r>
      <w:r w:rsidR="00F12944">
        <w:t>14</w:t>
      </w:r>
      <w:r w:rsidR="00F92D1D">
        <w:t>)</w:t>
      </w:r>
      <w:r w:rsidR="00990981">
        <w:t>.</w:t>
      </w:r>
    </w:p>
    <w:p w:rsidR="00D36E35" w:rsidRDefault="00D36E35" w:rsidP="00D70818">
      <w:pPr>
        <w:rPr>
          <w:b/>
        </w:rPr>
      </w:pPr>
    </w:p>
    <w:p w:rsidR="00A335D1" w:rsidRDefault="00D70818" w:rsidP="00D70818">
      <w:pPr>
        <w:rPr>
          <w:b/>
        </w:rPr>
      </w:pPr>
      <w:r>
        <w:rPr>
          <w:b/>
        </w:rPr>
        <w:t>Respiratory Infections</w:t>
      </w:r>
      <w:r w:rsidR="008D5EA6">
        <w:rPr>
          <w:b/>
        </w:rPr>
        <w:t xml:space="preserve"> </w:t>
      </w:r>
    </w:p>
    <w:p w:rsidR="00DA152B" w:rsidRDefault="00D70818" w:rsidP="00D70818">
      <w:r>
        <w:t>The</w:t>
      </w:r>
      <w:r w:rsidR="00F12944">
        <w:t>re was 1</w:t>
      </w:r>
      <w:r w:rsidR="00C532F8">
        <w:t xml:space="preserve"> </w:t>
      </w:r>
      <w:r w:rsidR="008A3793">
        <w:t>respiratory infections</w:t>
      </w:r>
      <w:r w:rsidR="00C532F8">
        <w:t xml:space="preserve"> this quarter, </w:t>
      </w:r>
      <w:r w:rsidR="008537FE">
        <w:t>a</w:t>
      </w:r>
      <w:r w:rsidR="00F12944">
        <w:t xml:space="preserve">n increase </w:t>
      </w:r>
      <w:r w:rsidR="00C532F8">
        <w:t xml:space="preserve">from </w:t>
      </w:r>
      <w:r w:rsidR="00F12944">
        <w:t>the 2nd quarter (0</w:t>
      </w:r>
      <w:r w:rsidR="007552D3">
        <w:t xml:space="preserve">) and </w:t>
      </w:r>
      <w:r w:rsidR="00F12944">
        <w:t xml:space="preserve">decrease from </w:t>
      </w:r>
      <w:r w:rsidR="00C532F8">
        <w:t>the same period of last year</w:t>
      </w:r>
      <w:r w:rsidR="007552D3">
        <w:t xml:space="preserve"> (</w:t>
      </w:r>
      <w:r w:rsidR="00F12944">
        <w:t>4</w:t>
      </w:r>
      <w:r w:rsidR="007552D3">
        <w:t>)</w:t>
      </w:r>
      <w:r w:rsidR="00C63E7F">
        <w:t>. A</w:t>
      </w:r>
      <w:r w:rsidR="00F12944">
        <w:t xml:space="preserve"> reflection of the </w:t>
      </w:r>
      <w:r w:rsidR="00C532F8">
        <w:t>ongoing COVID precautions.</w:t>
      </w:r>
      <w:r w:rsidR="008537FE">
        <w:t xml:space="preserve"> </w:t>
      </w:r>
      <w:r w:rsidR="00F92D1D">
        <w:t xml:space="preserve">  </w:t>
      </w:r>
    </w:p>
    <w:p w:rsidR="00A82FB4" w:rsidRDefault="00A82FB4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Urinary Tract Infections</w:t>
      </w:r>
      <w:bookmarkStart w:id="0" w:name="_GoBack"/>
      <w:bookmarkEnd w:id="0"/>
    </w:p>
    <w:p w:rsidR="008A4D31" w:rsidRDefault="00D70818" w:rsidP="00D70818">
      <w:r>
        <w:t>The number of re</w:t>
      </w:r>
      <w:r w:rsidR="00470322">
        <w:t>ported Urinary Tract Infections (</w:t>
      </w:r>
      <w:r w:rsidR="00F12944">
        <w:t>6</w:t>
      </w:r>
      <w:r w:rsidR="00470322">
        <w:t xml:space="preserve">) </w:t>
      </w:r>
      <w:r w:rsidR="00F12944">
        <w:t>in</w:t>
      </w:r>
      <w:r w:rsidR="008537FE">
        <w:t>creased</w:t>
      </w:r>
      <w:r w:rsidR="00DA152B">
        <w:t xml:space="preserve"> from</w:t>
      </w:r>
      <w:r w:rsidR="008A4D31">
        <w:t xml:space="preserve"> the last </w:t>
      </w:r>
      <w:r w:rsidR="00F12944">
        <w:t>year (2) and the 2nd</w:t>
      </w:r>
      <w:r w:rsidR="00A55223">
        <w:t xml:space="preserve"> q</w:t>
      </w:r>
      <w:r w:rsidR="008A4D31">
        <w:t>uarter</w:t>
      </w:r>
      <w:r w:rsidR="00470322">
        <w:t xml:space="preserve"> (</w:t>
      </w:r>
      <w:r w:rsidR="00F12944">
        <w:t>4</w:t>
      </w:r>
      <w:r w:rsidR="00470322">
        <w:t>)</w:t>
      </w:r>
      <w:r w:rsidR="00DA152B">
        <w:t>.</w:t>
      </w:r>
      <w:r w:rsidR="0019297B">
        <w:t xml:space="preserve"> </w:t>
      </w:r>
    </w:p>
    <w:p w:rsidR="00A55223" w:rsidRDefault="00A55223" w:rsidP="00D70818">
      <w:r>
        <w:t>All residents were treated in house and symptoms resolved.</w:t>
      </w:r>
    </w:p>
    <w:p w:rsidR="00DA152B" w:rsidRDefault="00DA152B" w:rsidP="00D70818"/>
    <w:p w:rsidR="00D70818" w:rsidRDefault="00D70818" w:rsidP="00D70818">
      <w:pPr>
        <w:rPr>
          <w:b/>
        </w:rPr>
      </w:pPr>
      <w:r w:rsidRPr="00610D47">
        <w:rPr>
          <w:b/>
        </w:rPr>
        <w:t>Skin Infections</w:t>
      </w:r>
    </w:p>
    <w:p w:rsidR="007A32CB" w:rsidRDefault="00D70818" w:rsidP="00D70818">
      <w:r>
        <w:t>The</w:t>
      </w:r>
      <w:r w:rsidR="00A55223">
        <w:t xml:space="preserve"> number of skin infections (2) have</w:t>
      </w:r>
      <w:r w:rsidR="00F12944">
        <w:t xml:space="preserve"> remained the same</w:t>
      </w:r>
      <w:r w:rsidR="00A55223">
        <w:t xml:space="preserve"> </w:t>
      </w:r>
      <w:r w:rsidR="007A32CB">
        <w:t xml:space="preserve">from the last quarter </w:t>
      </w:r>
      <w:r w:rsidR="00F12944">
        <w:t xml:space="preserve">and </w:t>
      </w:r>
      <w:r w:rsidR="007552D3">
        <w:t xml:space="preserve">from </w:t>
      </w:r>
      <w:r w:rsidR="00F12944">
        <w:t>the same period of last year.</w:t>
      </w:r>
    </w:p>
    <w:p w:rsidR="00A55223" w:rsidRDefault="00A55223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Gastrointestinal Infections</w:t>
      </w:r>
    </w:p>
    <w:p w:rsidR="00D70818" w:rsidRDefault="008537FE" w:rsidP="00D70818">
      <w:r>
        <w:t xml:space="preserve">There was </w:t>
      </w:r>
      <w:r w:rsidR="00F12944">
        <w:t>0</w:t>
      </w:r>
      <w:r>
        <w:t xml:space="preserve"> gastrointestinal infection</w:t>
      </w:r>
      <w:r w:rsidR="00EB2216">
        <w:t>.</w:t>
      </w:r>
      <w:r w:rsidR="00F12944">
        <w:t xml:space="preserve"> </w:t>
      </w:r>
    </w:p>
    <w:p w:rsidR="00D70818" w:rsidRDefault="00D70818" w:rsidP="00D70818"/>
    <w:p w:rsidR="00D70818" w:rsidRDefault="00D70818" w:rsidP="00D70818">
      <w:pPr>
        <w:rPr>
          <w:b/>
        </w:rPr>
      </w:pPr>
      <w:r w:rsidRPr="002D112C">
        <w:rPr>
          <w:b/>
        </w:rPr>
        <w:t>Other Infections</w:t>
      </w:r>
      <w:r>
        <w:rPr>
          <w:b/>
        </w:rPr>
        <w:t xml:space="preserve"> (eye, genitourinary, ear, oral)</w:t>
      </w:r>
    </w:p>
    <w:p w:rsidR="00D70818" w:rsidRDefault="00D70818" w:rsidP="00D70818">
      <w:r>
        <w:t>The</w:t>
      </w:r>
      <w:r w:rsidR="00F12944">
        <w:t>re</w:t>
      </w:r>
      <w:r>
        <w:t xml:space="preserve"> </w:t>
      </w:r>
      <w:r w:rsidR="00F12944">
        <w:t>were zero other infections for this quarter.</w:t>
      </w:r>
    </w:p>
    <w:p w:rsidR="00427D1B" w:rsidRDefault="00427D1B" w:rsidP="00D70818"/>
    <w:p w:rsidR="00427D1B" w:rsidRDefault="00427D1B" w:rsidP="00D70818"/>
    <w:p w:rsidR="00427D1B" w:rsidRDefault="00427D1B" w:rsidP="00D70818"/>
    <w:p w:rsidR="00427D1B" w:rsidRDefault="00427D1B" w:rsidP="00D70818"/>
    <w:p w:rsidR="006E1573" w:rsidRDefault="006E1573" w:rsidP="00D70818"/>
    <w:p w:rsidR="006E1573" w:rsidRDefault="006E1573" w:rsidP="00D70818"/>
    <w:p w:rsidR="006E1573" w:rsidRDefault="006E1573" w:rsidP="00D70818"/>
    <w:p w:rsidR="00D70818" w:rsidRPr="00646673" w:rsidRDefault="00D70818" w:rsidP="00D70818">
      <w:pPr>
        <w:rPr>
          <w:rFonts w:ascii="Calibri" w:hAnsi="Calibri"/>
          <w:b/>
        </w:rPr>
      </w:pPr>
      <w:r w:rsidRPr="00027301">
        <w:rPr>
          <w:b/>
          <w:sz w:val="24"/>
        </w:rPr>
        <w:t>4.0</w:t>
      </w:r>
      <w:r>
        <w:rPr>
          <w:b/>
        </w:rPr>
        <w:tab/>
      </w:r>
      <w:r w:rsidRPr="00881F7F">
        <w:rPr>
          <w:b/>
          <w:sz w:val="24"/>
        </w:rPr>
        <w:t xml:space="preserve">Shoreham Village </w:t>
      </w:r>
      <w:r w:rsidR="000D12E5" w:rsidRPr="00881F7F">
        <w:rPr>
          <w:b/>
          <w:sz w:val="24"/>
        </w:rPr>
        <w:t xml:space="preserve">- </w:t>
      </w:r>
      <w:r w:rsidRPr="00881F7F">
        <w:rPr>
          <w:b/>
          <w:sz w:val="24"/>
        </w:rPr>
        <w:t>Hand Hygiene Report – Q</w:t>
      </w:r>
      <w:r w:rsidR="004E196A">
        <w:rPr>
          <w:b/>
          <w:sz w:val="24"/>
        </w:rPr>
        <w:t>3</w:t>
      </w:r>
      <w:r w:rsidRPr="00881F7F">
        <w:rPr>
          <w:b/>
          <w:sz w:val="24"/>
        </w:rPr>
        <w:t xml:space="preserve"> </w:t>
      </w:r>
      <w:r w:rsidR="004E196A">
        <w:rPr>
          <w:b/>
          <w:sz w:val="24"/>
        </w:rPr>
        <w:t>Oct</w:t>
      </w:r>
      <w:r w:rsidR="00316133" w:rsidRPr="00881F7F">
        <w:rPr>
          <w:b/>
          <w:sz w:val="24"/>
        </w:rPr>
        <w:t xml:space="preserve"> </w:t>
      </w:r>
      <w:r w:rsidRPr="00881F7F">
        <w:rPr>
          <w:b/>
          <w:sz w:val="24"/>
        </w:rPr>
        <w:t xml:space="preserve">– </w:t>
      </w:r>
      <w:r w:rsidR="004E196A">
        <w:rPr>
          <w:b/>
          <w:sz w:val="24"/>
        </w:rPr>
        <w:t>December</w:t>
      </w:r>
      <w:r w:rsidR="002768AC">
        <w:rPr>
          <w:b/>
          <w:sz w:val="24"/>
        </w:rPr>
        <w:t xml:space="preserve"> </w:t>
      </w:r>
      <w:r w:rsidR="00D865FD">
        <w:rPr>
          <w:b/>
          <w:sz w:val="24"/>
        </w:rPr>
        <w:t>2021/22</w:t>
      </w:r>
    </w:p>
    <w:p w:rsidR="00D70818" w:rsidRDefault="00D70818" w:rsidP="00D70818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880"/>
        <w:gridCol w:w="1417"/>
        <w:gridCol w:w="1620"/>
        <w:gridCol w:w="1620"/>
        <w:gridCol w:w="1710"/>
      </w:tblGrid>
      <w:tr w:rsidR="00D70818" w:rsidTr="002A3CF7">
        <w:tc>
          <w:tcPr>
            <w:tcW w:w="2880" w:type="dxa"/>
          </w:tcPr>
          <w:p w:rsidR="00D70818" w:rsidRPr="00D12732" w:rsidRDefault="00D70818" w:rsidP="002A3CF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Results</w:t>
            </w:r>
          </w:p>
        </w:tc>
        <w:tc>
          <w:tcPr>
            <w:tcW w:w="1417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Q1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Q2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1710" w:type="dxa"/>
          </w:tcPr>
          <w:p w:rsidR="00D7081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Staff  Audited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 Opportunities Observed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457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277</w:t>
            </w: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Opportunities Met 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433</w:t>
            </w:r>
            <w:r w:rsidR="002A3CF7">
              <w:rPr>
                <w:rFonts w:ascii="Calibri" w:hAnsi="Calibri"/>
              </w:rPr>
              <w:t xml:space="preserve"> (9</w:t>
            </w:r>
            <w:r>
              <w:rPr>
                <w:rFonts w:ascii="Calibri" w:hAnsi="Calibri"/>
              </w:rPr>
              <w:t>4.7</w:t>
            </w:r>
            <w:r w:rsidR="002A3CF7">
              <w:rPr>
                <w:rFonts w:ascii="Calibri" w:hAnsi="Calibri"/>
              </w:rPr>
              <w:t>%)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378(95.7%)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269 (97%)</w:t>
            </w: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# of Opportunities Missed</w:t>
            </w:r>
          </w:p>
        </w:tc>
        <w:tc>
          <w:tcPr>
            <w:tcW w:w="1417" w:type="dxa"/>
          </w:tcPr>
          <w:p w:rsidR="002A3CF7" w:rsidRDefault="002A3CF7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06351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(</w:t>
            </w:r>
            <w:r w:rsidR="00506351">
              <w:rPr>
                <w:rFonts w:ascii="Calibri" w:hAnsi="Calibri"/>
              </w:rPr>
              <w:t>5.3</w:t>
            </w:r>
            <w:r>
              <w:rPr>
                <w:rFonts w:ascii="Calibri" w:hAnsi="Calibri"/>
              </w:rPr>
              <w:t>%)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17(4.3%)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(3%)</w:t>
            </w:r>
          </w:p>
        </w:tc>
        <w:tc>
          <w:tcPr>
            <w:tcW w:w="1710" w:type="dxa"/>
          </w:tcPr>
          <w:p w:rsidR="002A3CF7" w:rsidRDefault="002A3CF7" w:rsidP="002A3CF7">
            <w:pPr>
              <w:jc w:val="center"/>
              <w:rPr>
                <w:rFonts w:ascii="Calibri" w:hAnsi="Calibri"/>
              </w:rPr>
            </w:pPr>
          </w:p>
        </w:tc>
      </w:tr>
    </w:tbl>
    <w:p w:rsidR="00D70818" w:rsidRDefault="00D70818" w:rsidP="00D70818">
      <w:pPr>
        <w:jc w:val="both"/>
        <w:rPr>
          <w:rFonts w:ascii="Calibri" w:hAnsi="Calibri"/>
          <w:sz w:val="20"/>
          <w:szCs w:val="20"/>
        </w:rPr>
      </w:pPr>
    </w:p>
    <w:p w:rsidR="002F35D7" w:rsidRDefault="002F35D7" w:rsidP="00D70818">
      <w:pPr>
        <w:jc w:val="both"/>
        <w:rPr>
          <w:rFonts w:ascii="Calibri" w:hAnsi="Calibri"/>
          <w:sz w:val="20"/>
          <w:szCs w:val="20"/>
        </w:rPr>
      </w:pPr>
    </w:p>
    <w:p w:rsidR="002F35D7" w:rsidRPr="00C92968" w:rsidRDefault="002F35D7" w:rsidP="00D70818">
      <w:pPr>
        <w:jc w:val="both"/>
        <w:rPr>
          <w:rFonts w:ascii="Calibri" w:hAnsi="Calibri"/>
          <w:sz w:val="20"/>
          <w:szCs w:val="20"/>
        </w:rPr>
      </w:pPr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0818" w:rsidRPr="0062323A" w:rsidRDefault="005B5C4A" w:rsidP="00D70818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="00D70818" w:rsidRPr="0062323A">
        <w:rPr>
          <w:rFonts w:ascii="Calibri" w:hAnsi="Calibri"/>
          <w:b/>
          <w:noProof/>
          <w:szCs w:val="22"/>
        </w:rPr>
        <w:t>omments:</w:t>
      </w:r>
    </w:p>
    <w:p w:rsidR="00D70818" w:rsidRDefault="00D70818" w:rsidP="00D70818">
      <w:pPr>
        <w:jc w:val="center"/>
        <w:rPr>
          <w:rFonts w:ascii="Calibri" w:hAnsi="Calibri"/>
          <w:noProof/>
          <w:szCs w:val="22"/>
        </w:rPr>
      </w:pPr>
    </w:p>
    <w:p w:rsidR="003F49EC" w:rsidRDefault="008D3D7A" w:rsidP="003F49EC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Areas for improvement include:</w:t>
      </w:r>
    </w:p>
    <w:p w:rsidR="000D07EE" w:rsidRDefault="000D07EE" w:rsidP="003F49EC">
      <w:pPr>
        <w:jc w:val="both"/>
        <w:rPr>
          <w:rFonts w:ascii="Calibri" w:hAnsi="Calibri"/>
          <w:b/>
          <w:szCs w:val="22"/>
        </w:rPr>
      </w:pPr>
    </w:p>
    <w:p w:rsidR="00F91651" w:rsidRDefault="000D07EE" w:rsidP="003F49E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There were 9 incidents where the opportunity for </w:t>
      </w:r>
      <w:r w:rsidR="00CA1CEB">
        <w:rPr>
          <w:rFonts w:ascii="Calibri" w:hAnsi="Calibri"/>
          <w:szCs w:val="22"/>
        </w:rPr>
        <w:t xml:space="preserve">Hand Hygiene </w:t>
      </w:r>
      <w:r>
        <w:rPr>
          <w:rFonts w:ascii="Calibri" w:hAnsi="Calibri"/>
          <w:szCs w:val="22"/>
        </w:rPr>
        <w:t xml:space="preserve">prior to handling clean linen was missed however no area scored less than 80%. Reminder communication was sent through the HUB for all staff. </w:t>
      </w:r>
    </w:p>
    <w:p w:rsidR="000D07EE" w:rsidRDefault="000D07EE" w:rsidP="003F49EC">
      <w:pPr>
        <w:jc w:val="both"/>
        <w:rPr>
          <w:rFonts w:ascii="Calibri" w:hAnsi="Calibri"/>
          <w:szCs w:val="22"/>
        </w:rPr>
      </w:pPr>
    </w:p>
    <w:p w:rsidR="000D07EE" w:rsidRDefault="000D07EE" w:rsidP="003F49EC">
      <w:pPr>
        <w:jc w:val="both"/>
        <w:rPr>
          <w:color w:val="000000"/>
          <w:szCs w:val="22"/>
        </w:rPr>
      </w:pPr>
      <w:r>
        <w:rPr>
          <w:rFonts w:ascii="Calibri" w:hAnsi="Calibri"/>
          <w:szCs w:val="22"/>
        </w:rPr>
        <w:t xml:space="preserve">Other Infection control audits were completed which included mask and PPE wearing with near perfect results. </w:t>
      </w: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F91651" w:rsidRDefault="00F91651" w:rsidP="003F49EC">
      <w:pPr>
        <w:jc w:val="both"/>
        <w:rPr>
          <w:color w:val="000000"/>
          <w:szCs w:val="22"/>
        </w:rPr>
      </w:pPr>
    </w:p>
    <w:p w:rsidR="009D3FA0" w:rsidRPr="00646673" w:rsidRDefault="009D3FA0" w:rsidP="009D3FA0">
      <w:pPr>
        <w:rPr>
          <w:rFonts w:ascii="Calibri" w:hAnsi="Calibri"/>
          <w:b/>
        </w:rPr>
      </w:pPr>
      <w:r>
        <w:rPr>
          <w:b/>
          <w:sz w:val="24"/>
        </w:rPr>
        <w:t>5</w:t>
      </w:r>
      <w:r w:rsidRPr="00027301">
        <w:rPr>
          <w:b/>
          <w:sz w:val="24"/>
        </w:rPr>
        <w:t>.0</w:t>
      </w:r>
      <w:r>
        <w:rPr>
          <w:b/>
        </w:rPr>
        <w:tab/>
      </w:r>
      <w:r w:rsidRPr="00881F7F">
        <w:rPr>
          <w:b/>
          <w:sz w:val="24"/>
        </w:rPr>
        <w:t xml:space="preserve">Shoreham Village - </w:t>
      </w:r>
      <w:r>
        <w:rPr>
          <w:b/>
          <w:sz w:val="24"/>
        </w:rPr>
        <w:t>Volunteer</w:t>
      </w:r>
      <w:r w:rsidRPr="00881F7F">
        <w:rPr>
          <w:b/>
          <w:sz w:val="24"/>
        </w:rPr>
        <w:t xml:space="preserve"> Report – Q</w:t>
      </w:r>
      <w:r w:rsidR="004E196A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4E196A">
        <w:rPr>
          <w:b/>
          <w:sz w:val="24"/>
        </w:rPr>
        <w:t>Oct</w:t>
      </w:r>
      <w:r w:rsidR="003F49EC">
        <w:rPr>
          <w:b/>
          <w:sz w:val="24"/>
        </w:rPr>
        <w:t xml:space="preserve"> – </w:t>
      </w:r>
      <w:r w:rsidR="004E196A">
        <w:rPr>
          <w:b/>
          <w:sz w:val="24"/>
        </w:rPr>
        <w:t>December</w:t>
      </w:r>
      <w:r w:rsidR="003F49EC">
        <w:rPr>
          <w:b/>
          <w:sz w:val="24"/>
        </w:rPr>
        <w:t xml:space="preserve"> </w:t>
      </w:r>
      <w:r>
        <w:rPr>
          <w:b/>
          <w:sz w:val="24"/>
        </w:rPr>
        <w:t>2021/22</w:t>
      </w:r>
      <w:r w:rsidR="003F49EC">
        <w:rPr>
          <w:b/>
          <w:sz w:val="24"/>
        </w:rPr>
        <w:t xml:space="preserve"> </w:t>
      </w:r>
    </w:p>
    <w:p w:rsidR="009D3FA0" w:rsidRDefault="009D3FA0" w:rsidP="009D3FA0">
      <w:pPr>
        <w:jc w:val="both"/>
        <w:rPr>
          <w:rFonts w:ascii="Calibri" w:hAnsi="Calibri"/>
          <w:szCs w:val="22"/>
        </w:rPr>
      </w:pPr>
    </w:p>
    <w:p w:rsidR="009D3FA0" w:rsidRDefault="009D3FA0" w:rsidP="009D3FA0">
      <w:r>
        <w:rPr>
          <w:noProof/>
          <w:lang w:val="en-CA" w:eastAsia="en-CA"/>
        </w:rPr>
        <w:drawing>
          <wp:inline distT="0" distB="0" distL="0" distR="0" wp14:anchorId="731DCE3C" wp14:editId="597DBDD2">
            <wp:extent cx="6223000" cy="3086100"/>
            <wp:effectExtent l="0" t="0" r="635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3FA0" w:rsidRDefault="009D3FA0" w:rsidP="009D3FA0"/>
    <w:p w:rsidR="005029B2" w:rsidRPr="0062323A" w:rsidRDefault="005029B2" w:rsidP="005029B2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Pr="0062323A">
        <w:rPr>
          <w:rFonts w:ascii="Calibri" w:hAnsi="Calibri"/>
          <w:b/>
          <w:noProof/>
          <w:szCs w:val="22"/>
        </w:rPr>
        <w:t>omments:</w:t>
      </w:r>
    </w:p>
    <w:p w:rsidR="005029B2" w:rsidRDefault="005029B2" w:rsidP="009D3FA0"/>
    <w:p w:rsidR="003F49EC" w:rsidRPr="0027660C" w:rsidRDefault="003F49EC" w:rsidP="003F49EC">
      <w:pPr>
        <w:rPr>
          <w:rFonts w:cs="Arial"/>
          <w:b/>
          <w:sz w:val="24"/>
        </w:rPr>
      </w:pPr>
      <w:r w:rsidRPr="0027660C">
        <w:rPr>
          <w:rFonts w:cs="Arial"/>
          <w:b/>
          <w:sz w:val="24"/>
        </w:rPr>
        <w:t>Volunteer Recruitment, Training and Retention</w:t>
      </w:r>
    </w:p>
    <w:p w:rsidR="003F49EC" w:rsidRDefault="003F49EC" w:rsidP="009D3FA0"/>
    <w:p w:rsidR="004E196A" w:rsidRDefault="004E196A" w:rsidP="004E19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During this quarter, there were lifted Covid 19 restrictions; volunteers have been back in our home. We continue to maintain email, social media and verbal communications with volunteers. </w:t>
      </w:r>
    </w:p>
    <w:p w:rsidR="003F49EC" w:rsidRDefault="003F49EC" w:rsidP="003F49EC">
      <w:pPr>
        <w:rPr>
          <w:rFonts w:ascii="Arial" w:hAnsi="Arial" w:cs="Arial"/>
          <w:sz w:val="18"/>
          <w:szCs w:val="18"/>
        </w:rPr>
      </w:pPr>
    </w:p>
    <w:p w:rsidR="003F49EC" w:rsidRPr="001E3A78" w:rsidRDefault="003F49EC" w:rsidP="003F49EC">
      <w:pPr>
        <w:rPr>
          <w:rFonts w:cs="Arial"/>
          <w:b/>
          <w:sz w:val="24"/>
        </w:rPr>
      </w:pPr>
      <w:r w:rsidRPr="001E3A78">
        <w:rPr>
          <w:rFonts w:cs="Arial"/>
          <w:b/>
          <w:sz w:val="24"/>
        </w:rPr>
        <w:t>Steady or Growing volunteer base</w:t>
      </w:r>
    </w:p>
    <w:p w:rsidR="003F49EC" w:rsidRDefault="003F49EC" w:rsidP="003F49EC">
      <w:pPr>
        <w:rPr>
          <w:rFonts w:ascii="Arial" w:hAnsi="Arial" w:cs="Arial"/>
          <w:sz w:val="18"/>
          <w:szCs w:val="18"/>
        </w:rPr>
      </w:pPr>
    </w:p>
    <w:p w:rsidR="003F49EC" w:rsidRPr="001E3A78" w:rsidRDefault="004E196A" w:rsidP="004E196A">
      <w:pPr>
        <w:rPr>
          <w:rFonts w:cs="Arial"/>
        </w:rPr>
      </w:pPr>
      <w:r>
        <w:rPr>
          <w:rFonts w:ascii="Arial" w:hAnsi="Arial" w:cs="Arial"/>
          <w:sz w:val="18"/>
          <w:szCs w:val="18"/>
        </w:rPr>
        <w:t>Below indicates that we have had 2 volunteers retired from volunteering. Shoreham Village recruited 10 new volunteers.</w:t>
      </w:r>
    </w:p>
    <w:sectPr w:rsidR="003F49EC" w:rsidRPr="001E3A78" w:rsidSect="007D2620">
      <w:headerReference w:type="default" r:id="rId17"/>
      <w:footerReference w:type="default" r:id="rId18"/>
      <w:pgSz w:w="12240" w:h="15840"/>
      <w:pgMar w:top="630" w:right="1440" w:bottom="720" w:left="990" w:header="540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A1" w:rsidRDefault="00B336A1" w:rsidP="001C6404">
      <w:r>
        <w:separator/>
      </w:r>
    </w:p>
  </w:endnote>
  <w:endnote w:type="continuationSeparator" w:id="0">
    <w:p w:rsidR="00B336A1" w:rsidRDefault="00B336A1" w:rsidP="001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3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A1" w:rsidRDefault="00B336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E7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336A1" w:rsidRDefault="00B33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A1" w:rsidRDefault="00B336A1" w:rsidP="001C6404">
      <w:r>
        <w:separator/>
      </w:r>
    </w:p>
  </w:footnote>
  <w:footnote w:type="continuationSeparator" w:id="0">
    <w:p w:rsidR="00B336A1" w:rsidRDefault="00B336A1" w:rsidP="001C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A1" w:rsidRPr="00CF1910" w:rsidRDefault="00B336A1">
    <w:pPr>
      <w:pStyle w:val="Header"/>
      <w:rPr>
        <w:i/>
        <w:sz w:val="28"/>
        <w:szCs w:val="28"/>
      </w:rPr>
    </w:pPr>
    <w:r w:rsidRPr="00CF1910">
      <w:rPr>
        <w:i/>
        <w:sz w:val="28"/>
        <w:szCs w:val="28"/>
      </w:rPr>
      <w:t>Shoreham Village Resident Care Scorecard</w:t>
    </w:r>
  </w:p>
  <w:p w:rsidR="00B336A1" w:rsidRDefault="00B33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0CC"/>
    <w:multiLevelType w:val="hybridMultilevel"/>
    <w:tmpl w:val="138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8AC"/>
    <w:multiLevelType w:val="multilevel"/>
    <w:tmpl w:val="2EFE4CF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1FF532FB"/>
    <w:multiLevelType w:val="hybridMultilevel"/>
    <w:tmpl w:val="FAFE8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7FF8"/>
    <w:multiLevelType w:val="hybridMultilevel"/>
    <w:tmpl w:val="38C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4296"/>
    <w:multiLevelType w:val="hybridMultilevel"/>
    <w:tmpl w:val="795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79B4"/>
    <w:multiLevelType w:val="hybridMultilevel"/>
    <w:tmpl w:val="9E3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57068"/>
    <w:multiLevelType w:val="hybridMultilevel"/>
    <w:tmpl w:val="22F4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B"/>
    <w:rsid w:val="00001E76"/>
    <w:rsid w:val="00006395"/>
    <w:rsid w:val="0001080C"/>
    <w:rsid w:val="00011193"/>
    <w:rsid w:val="00015F41"/>
    <w:rsid w:val="0002160E"/>
    <w:rsid w:val="000260BD"/>
    <w:rsid w:val="00027301"/>
    <w:rsid w:val="00027A97"/>
    <w:rsid w:val="000501E8"/>
    <w:rsid w:val="0005139C"/>
    <w:rsid w:val="00055044"/>
    <w:rsid w:val="00055640"/>
    <w:rsid w:val="0005661E"/>
    <w:rsid w:val="0006339A"/>
    <w:rsid w:val="00067702"/>
    <w:rsid w:val="00070BD6"/>
    <w:rsid w:val="000844CD"/>
    <w:rsid w:val="00085A45"/>
    <w:rsid w:val="00086FB9"/>
    <w:rsid w:val="00087BCB"/>
    <w:rsid w:val="000A1814"/>
    <w:rsid w:val="000A4A87"/>
    <w:rsid w:val="000A5242"/>
    <w:rsid w:val="000A6825"/>
    <w:rsid w:val="000B617F"/>
    <w:rsid w:val="000C2076"/>
    <w:rsid w:val="000D07EE"/>
    <w:rsid w:val="000D12E5"/>
    <w:rsid w:val="000D67FC"/>
    <w:rsid w:val="000D705B"/>
    <w:rsid w:val="000F7DC4"/>
    <w:rsid w:val="001121A0"/>
    <w:rsid w:val="00113AEC"/>
    <w:rsid w:val="00114B4A"/>
    <w:rsid w:val="001206C5"/>
    <w:rsid w:val="00122916"/>
    <w:rsid w:val="00124BEE"/>
    <w:rsid w:val="001253A1"/>
    <w:rsid w:val="00134B14"/>
    <w:rsid w:val="00134C02"/>
    <w:rsid w:val="001421F3"/>
    <w:rsid w:val="00144FB8"/>
    <w:rsid w:val="00145336"/>
    <w:rsid w:val="00145ABC"/>
    <w:rsid w:val="00147D37"/>
    <w:rsid w:val="00151BC2"/>
    <w:rsid w:val="00151E13"/>
    <w:rsid w:val="0016425D"/>
    <w:rsid w:val="00164F42"/>
    <w:rsid w:val="00172E32"/>
    <w:rsid w:val="001745D1"/>
    <w:rsid w:val="0017649F"/>
    <w:rsid w:val="0019297B"/>
    <w:rsid w:val="00197212"/>
    <w:rsid w:val="001A77C4"/>
    <w:rsid w:val="001C00B9"/>
    <w:rsid w:val="001C6404"/>
    <w:rsid w:val="001D0D53"/>
    <w:rsid w:val="001D4DA3"/>
    <w:rsid w:val="001F29A7"/>
    <w:rsid w:val="00206CFF"/>
    <w:rsid w:val="00212425"/>
    <w:rsid w:val="00216BEA"/>
    <w:rsid w:val="00221FD2"/>
    <w:rsid w:val="00225F74"/>
    <w:rsid w:val="0024056C"/>
    <w:rsid w:val="00256618"/>
    <w:rsid w:val="00261EFC"/>
    <w:rsid w:val="002622EC"/>
    <w:rsid w:val="00266D36"/>
    <w:rsid w:val="002673C2"/>
    <w:rsid w:val="00273CBD"/>
    <w:rsid w:val="002768AC"/>
    <w:rsid w:val="002802F2"/>
    <w:rsid w:val="0028577C"/>
    <w:rsid w:val="002958B0"/>
    <w:rsid w:val="002A0737"/>
    <w:rsid w:val="002A3CF7"/>
    <w:rsid w:val="002A4813"/>
    <w:rsid w:val="002B1277"/>
    <w:rsid w:val="002C1405"/>
    <w:rsid w:val="002C178F"/>
    <w:rsid w:val="002C526D"/>
    <w:rsid w:val="002C7B33"/>
    <w:rsid w:val="002D389D"/>
    <w:rsid w:val="002D56AD"/>
    <w:rsid w:val="002E4C65"/>
    <w:rsid w:val="002E762B"/>
    <w:rsid w:val="002F35D7"/>
    <w:rsid w:val="00303213"/>
    <w:rsid w:val="003056B5"/>
    <w:rsid w:val="003120D1"/>
    <w:rsid w:val="003141E3"/>
    <w:rsid w:val="00315836"/>
    <w:rsid w:val="00316133"/>
    <w:rsid w:val="00316150"/>
    <w:rsid w:val="00333940"/>
    <w:rsid w:val="00335325"/>
    <w:rsid w:val="0034126B"/>
    <w:rsid w:val="00342822"/>
    <w:rsid w:val="00342CED"/>
    <w:rsid w:val="00357201"/>
    <w:rsid w:val="0036270C"/>
    <w:rsid w:val="003653F0"/>
    <w:rsid w:val="00390E27"/>
    <w:rsid w:val="003A0B71"/>
    <w:rsid w:val="003A2481"/>
    <w:rsid w:val="003A274E"/>
    <w:rsid w:val="003A5907"/>
    <w:rsid w:val="003B3F66"/>
    <w:rsid w:val="003C133E"/>
    <w:rsid w:val="003E1E41"/>
    <w:rsid w:val="003E43F3"/>
    <w:rsid w:val="003E57E2"/>
    <w:rsid w:val="003F49EC"/>
    <w:rsid w:val="003F7102"/>
    <w:rsid w:val="00405760"/>
    <w:rsid w:val="004101DC"/>
    <w:rsid w:val="004175E1"/>
    <w:rsid w:val="00421B40"/>
    <w:rsid w:val="00427D1B"/>
    <w:rsid w:val="00433791"/>
    <w:rsid w:val="00435291"/>
    <w:rsid w:val="00437C59"/>
    <w:rsid w:val="00445E9D"/>
    <w:rsid w:val="00452861"/>
    <w:rsid w:val="00462123"/>
    <w:rsid w:val="004623DC"/>
    <w:rsid w:val="00470322"/>
    <w:rsid w:val="00471539"/>
    <w:rsid w:val="00475C1E"/>
    <w:rsid w:val="00481B18"/>
    <w:rsid w:val="00483D2E"/>
    <w:rsid w:val="00485001"/>
    <w:rsid w:val="00486472"/>
    <w:rsid w:val="00491D98"/>
    <w:rsid w:val="004A63A6"/>
    <w:rsid w:val="004A77F3"/>
    <w:rsid w:val="004C17E7"/>
    <w:rsid w:val="004C2D51"/>
    <w:rsid w:val="004C7336"/>
    <w:rsid w:val="004E05ED"/>
    <w:rsid w:val="004E196A"/>
    <w:rsid w:val="004E2E0E"/>
    <w:rsid w:val="004F2410"/>
    <w:rsid w:val="004F5DBC"/>
    <w:rsid w:val="005029B2"/>
    <w:rsid w:val="005032E8"/>
    <w:rsid w:val="00506351"/>
    <w:rsid w:val="005117EC"/>
    <w:rsid w:val="00511E80"/>
    <w:rsid w:val="00520FF0"/>
    <w:rsid w:val="00527A01"/>
    <w:rsid w:val="005349A3"/>
    <w:rsid w:val="0054025E"/>
    <w:rsid w:val="005411A7"/>
    <w:rsid w:val="00543A8B"/>
    <w:rsid w:val="00554218"/>
    <w:rsid w:val="00572DD2"/>
    <w:rsid w:val="00575ED1"/>
    <w:rsid w:val="005833AB"/>
    <w:rsid w:val="005855D8"/>
    <w:rsid w:val="0059043D"/>
    <w:rsid w:val="005A183F"/>
    <w:rsid w:val="005A2626"/>
    <w:rsid w:val="005A5966"/>
    <w:rsid w:val="005A7F3B"/>
    <w:rsid w:val="005B242C"/>
    <w:rsid w:val="005B5274"/>
    <w:rsid w:val="005B5C4A"/>
    <w:rsid w:val="005B6CBA"/>
    <w:rsid w:val="005B7123"/>
    <w:rsid w:val="005C0AA5"/>
    <w:rsid w:val="005C6AEA"/>
    <w:rsid w:val="005D35B2"/>
    <w:rsid w:val="005F05BB"/>
    <w:rsid w:val="005F22C7"/>
    <w:rsid w:val="005F302A"/>
    <w:rsid w:val="005F5DA0"/>
    <w:rsid w:val="00603293"/>
    <w:rsid w:val="006033F1"/>
    <w:rsid w:val="00620026"/>
    <w:rsid w:val="00633DDB"/>
    <w:rsid w:val="006537D7"/>
    <w:rsid w:val="00662299"/>
    <w:rsid w:val="00664FFC"/>
    <w:rsid w:val="006651F3"/>
    <w:rsid w:val="00666DF4"/>
    <w:rsid w:val="00673301"/>
    <w:rsid w:val="00680BAB"/>
    <w:rsid w:val="00683C5C"/>
    <w:rsid w:val="006902B7"/>
    <w:rsid w:val="00691D4B"/>
    <w:rsid w:val="00692019"/>
    <w:rsid w:val="00692F36"/>
    <w:rsid w:val="006A1E19"/>
    <w:rsid w:val="006A2058"/>
    <w:rsid w:val="006C58F8"/>
    <w:rsid w:val="006E086A"/>
    <w:rsid w:val="006E1573"/>
    <w:rsid w:val="006F314C"/>
    <w:rsid w:val="007079A9"/>
    <w:rsid w:val="00730E58"/>
    <w:rsid w:val="00735F15"/>
    <w:rsid w:val="007407D3"/>
    <w:rsid w:val="00755211"/>
    <w:rsid w:val="007552D3"/>
    <w:rsid w:val="00757992"/>
    <w:rsid w:val="007672D5"/>
    <w:rsid w:val="0077133C"/>
    <w:rsid w:val="0077356E"/>
    <w:rsid w:val="0077397D"/>
    <w:rsid w:val="0077660B"/>
    <w:rsid w:val="007779B1"/>
    <w:rsid w:val="00791873"/>
    <w:rsid w:val="00791BBD"/>
    <w:rsid w:val="00795DD6"/>
    <w:rsid w:val="007A32CB"/>
    <w:rsid w:val="007A725E"/>
    <w:rsid w:val="007A7E7D"/>
    <w:rsid w:val="007C02F8"/>
    <w:rsid w:val="007C57BF"/>
    <w:rsid w:val="007D2620"/>
    <w:rsid w:val="007D64B6"/>
    <w:rsid w:val="007D7CDF"/>
    <w:rsid w:val="007E19A1"/>
    <w:rsid w:val="007E6268"/>
    <w:rsid w:val="00807005"/>
    <w:rsid w:val="008106E1"/>
    <w:rsid w:val="008158AA"/>
    <w:rsid w:val="0082331B"/>
    <w:rsid w:val="00824EE2"/>
    <w:rsid w:val="00826FFE"/>
    <w:rsid w:val="0084011E"/>
    <w:rsid w:val="0084565D"/>
    <w:rsid w:val="0085118F"/>
    <w:rsid w:val="008537FE"/>
    <w:rsid w:val="00855DDD"/>
    <w:rsid w:val="00862528"/>
    <w:rsid w:val="008711CA"/>
    <w:rsid w:val="0087268C"/>
    <w:rsid w:val="0087574E"/>
    <w:rsid w:val="00881F7F"/>
    <w:rsid w:val="008840B2"/>
    <w:rsid w:val="00890802"/>
    <w:rsid w:val="00891EDF"/>
    <w:rsid w:val="008A13FC"/>
    <w:rsid w:val="008A3793"/>
    <w:rsid w:val="008A4D31"/>
    <w:rsid w:val="008B189A"/>
    <w:rsid w:val="008B2FE9"/>
    <w:rsid w:val="008B5A9E"/>
    <w:rsid w:val="008D3B96"/>
    <w:rsid w:val="008D3D7A"/>
    <w:rsid w:val="008D5EA6"/>
    <w:rsid w:val="008D69E6"/>
    <w:rsid w:val="008E11E7"/>
    <w:rsid w:val="008E2913"/>
    <w:rsid w:val="008E5D3E"/>
    <w:rsid w:val="008E6C0F"/>
    <w:rsid w:val="008F0B59"/>
    <w:rsid w:val="008F53A5"/>
    <w:rsid w:val="0090517C"/>
    <w:rsid w:val="0092395D"/>
    <w:rsid w:val="00936038"/>
    <w:rsid w:val="00936BEA"/>
    <w:rsid w:val="0094473E"/>
    <w:rsid w:val="00947E0D"/>
    <w:rsid w:val="00965DA1"/>
    <w:rsid w:val="00965EBE"/>
    <w:rsid w:val="00966716"/>
    <w:rsid w:val="009834D6"/>
    <w:rsid w:val="00983935"/>
    <w:rsid w:val="0098469E"/>
    <w:rsid w:val="009848F5"/>
    <w:rsid w:val="00987258"/>
    <w:rsid w:val="009901F9"/>
    <w:rsid w:val="00990981"/>
    <w:rsid w:val="009A15DB"/>
    <w:rsid w:val="009A4D68"/>
    <w:rsid w:val="009A753B"/>
    <w:rsid w:val="009A7AD1"/>
    <w:rsid w:val="009B019B"/>
    <w:rsid w:val="009B2164"/>
    <w:rsid w:val="009C40EC"/>
    <w:rsid w:val="009C5733"/>
    <w:rsid w:val="009D0E25"/>
    <w:rsid w:val="009D3FA0"/>
    <w:rsid w:val="009D423A"/>
    <w:rsid w:val="009F061E"/>
    <w:rsid w:val="00A04DB1"/>
    <w:rsid w:val="00A05A74"/>
    <w:rsid w:val="00A07C63"/>
    <w:rsid w:val="00A14046"/>
    <w:rsid w:val="00A25D51"/>
    <w:rsid w:val="00A26CC7"/>
    <w:rsid w:val="00A335D1"/>
    <w:rsid w:val="00A3371A"/>
    <w:rsid w:val="00A3556A"/>
    <w:rsid w:val="00A36E58"/>
    <w:rsid w:val="00A37CAB"/>
    <w:rsid w:val="00A46228"/>
    <w:rsid w:val="00A5141A"/>
    <w:rsid w:val="00A53D0F"/>
    <w:rsid w:val="00A54C55"/>
    <w:rsid w:val="00A55223"/>
    <w:rsid w:val="00A61FAD"/>
    <w:rsid w:val="00A631F7"/>
    <w:rsid w:val="00A66368"/>
    <w:rsid w:val="00A76C74"/>
    <w:rsid w:val="00A82FB4"/>
    <w:rsid w:val="00A839E2"/>
    <w:rsid w:val="00A8704F"/>
    <w:rsid w:val="00A93FA3"/>
    <w:rsid w:val="00A9520E"/>
    <w:rsid w:val="00A95F73"/>
    <w:rsid w:val="00A97D33"/>
    <w:rsid w:val="00AA348E"/>
    <w:rsid w:val="00AA42CC"/>
    <w:rsid w:val="00AA6B76"/>
    <w:rsid w:val="00AC3FFF"/>
    <w:rsid w:val="00AC4680"/>
    <w:rsid w:val="00AC5680"/>
    <w:rsid w:val="00AD6E88"/>
    <w:rsid w:val="00AE20EC"/>
    <w:rsid w:val="00B02B1F"/>
    <w:rsid w:val="00B20879"/>
    <w:rsid w:val="00B336A1"/>
    <w:rsid w:val="00B43F27"/>
    <w:rsid w:val="00B51CA0"/>
    <w:rsid w:val="00B560BE"/>
    <w:rsid w:val="00B567AA"/>
    <w:rsid w:val="00B604E4"/>
    <w:rsid w:val="00B6263D"/>
    <w:rsid w:val="00B67871"/>
    <w:rsid w:val="00B74024"/>
    <w:rsid w:val="00B849EE"/>
    <w:rsid w:val="00BA5693"/>
    <w:rsid w:val="00BB5A73"/>
    <w:rsid w:val="00BC6BAD"/>
    <w:rsid w:val="00BD01FE"/>
    <w:rsid w:val="00BD0FF7"/>
    <w:rsid w:val="00BE065B"/>
    <w:rsid w:val="00BE0E09"/>
    <w:rsid w:val="00BE3064"/>
    <w:rsid w:val="00BE48BB"/>
    <w:rsid w:val="00BF0B2B"/>
    <w:rsid w:val="00BF259C"/>
    <w:rsid w:val="00C05F10"/>
    <w:rsid w:val="00C10A85"/>
    <w:rsid w:val="00C10E5E"/>
    <w:rsid w:val="00C12E20"/>
    <w:rsid w:val="00C247CD"/>
    <w:rsid w:val="00C25386"/>
    <w:rsid w:val="00C30F46"/>
    <w:rsid w:val="00C360C0"/>
    <w:rsid w:val="00C532F8"/>
    <w:rsid w:val="00C57C80"/>
    <w:rsid w:val="00C60C95"/>
    <w:rsid w:val="00C6110C"/>
    <w:rsid w:val="00C62BFD"/>
    <w:rsid w:val="00C63E7F"/>
    <w:rsid w:val="00C704E9"/>
    <w:rsid w:val="00C803C5"/>
    <w:rsid w:val="00C825BC"/>
    <w:rsid w:val="00C82E0F"/>
    <w:rsid w:val="00C911BC"/>
    <w:rsid w:val="00CA1960"/>
    <w:rsid w:val="00CA1CEB"/>
    <w:rsid w:val="00CA219D"/>
    <w:rsid w:val="00CA44BD"/>
    <w:rsid w:val="00CA7A60"/>
    <w:rsid w:val="00CB0259"/>
    <w:rsid w:val="00CB10C7"/>
    <w:rsid w:val="00CB2069"/>
    <w:rsid w:val="00CD4D9E"/>
    <w:rsid w:val="00CD73F5"/>
    <w:rsid w:val="00CE3D0C"/>
    <w:rsid w:val="00CE6167"/>
    <w:rsid w:val="00CE6A7A"/>
    <w:rsid w:val="00CE7A95"/>
    <w:rsid w:val="00CF1910"/>
    <w:rsid w:val="00CF4AE4"/>
    <w:rsid w:val="00D00870"/>
    <w:rsid w:val="00D0099D"/>
    <w:rsid w:val="00D058F2"/>
    <w:rsid w:val="00D10EBE"/>
    <w:rsid w:val="00D12FAE"/>
    <w:rsid w:val="00D14085"/>
    <w:rsid w:val="00D24A78"/>
    <w:rsid w:val="00D32DCB"/>
    <w:rsid w:val="00D34AD0"/>
    <w:rsid w:val="00D36E35"/>
    <w:rsid w:val="00D36FAC"/>
    <w:rsid w:val="00D40080"/>
    <w:rsid w:val="00D44B0E"/>
    <w:rsid w:val="00D44DE1"/>
    <w:rsid w:val="00D50629"/>
    <w:rsid w:val="00D54D50"/>
    <w:rsid w:val="00D56D7A"/>
    <w:rsid w:val="00D70818"/>
    <w:rsid w:val="00D77584"/>
    <w:rsid w:val="00D865FD"/>
    <w:rsid w:val="00D9263D"/>
    <w:rsid w:val="00D94606"/>
    <w:rsid w:val="00DA152B"/>
    <w:rsid w:val="00DB0F32"/>
    <w:rsid w:val="00DB1B97"/>
    <w:rsid w:val="00DB35D1"/>
    <w:rsid w:val="00DB6A72"/>
    <w:rsid w:val="00DC07A3"/>
    <w:rsid w:val="00DC3908"/>
    <w:rsid w:val="00DC78A8"/>
    <w:rsid w:val="00DD146A"/>
    <w:rsid w:val="00DD2EE8"/>
    <w:rsid w:val="00DD5AC5"/>
    <w:rsid w:val="00DD6DBC"/>
    <w:rsid w:val="00DE1332"/>
    <w:rsid w:val="00DE1D97"/>
    <w:rsid w:val="00DE2A81"/>
    <w:rsid w:val="00DE7E1D"/>
    <w:rsid w:val="00DF1B4E"/>
    <w:rsid w:val="00DF5D53"/>
    <w:rsid w:val="00E026DB"/>
    <w:rsid w:val="00E035C1"/>
    <w:rsid w:val="00E05E16"/>
    <w:rsid w:val="00E10670"/>
    <w:rsid w:val="00E1071F"/>
    <w:rsid w:val="00E249B6"/>
    <w:rsid w:val="00E4016D"/>
    <w:rsid w:val="00E56A12"/>
    <w:rsid w:val="00E70EC2"/>
    <w:rsid w:val="00E773F0"/>
    <w:rsid w:val="00E964A8"/>
    <w:rsid w:val="00E970B5"/>
    <w:rsid w:val="00EA2CD4"/>
    <w:rsid w:val="00EB2216"/>
    <w:rsid w:val="00EB3245"/>
    <w:rsid w:val="00EC2006"/>
    <w:rsid w:val="00EC41C4"/>
    <w:rsid w:val="00EC751E"/>
    <w:rsid w:val="00ED0395"/>
    <w:rsid w:val="00ED4C09"/>
    <w:rsid w:val="00ED6671"/>
    <w:rsid w:val="00EE3F9E"/>
    <w:rsid w:val="00EE4F15"/>
    <w:rsid w:val="00EE525C"/>
    <w:rsid w:val="00EF229E"/>
    <w:rsid w:val="00EF2C0A"/>
    <w:rsid w:val="00EF2DF8"/>
    <w:rsid w:val="00EF3F41"/>
    <w:rsid w:val="00EF7D9B"/>
    <w:rsid w:val="00F048BA"/>
    <w:rsid w:val="00F10737"/>
    <w:rsid w:val="00F12944"/>
    <w:rsid w:val="00F138E3"/>
    <w:rsid w:val="00F23D1F"/>
    <w:rsid w:val="00F270B2"/>
    <w:rsid w:val="00F309AC"/>
    <w:rsid w:val="00F454FE"/>
    <w:rsid w:val="00F47893"/>
    <w:rsid w:val="00F52518"/>
    <w:rsid w:val="00F5331E"/>
    <w:rsid w:val="00F56C76"/>
    <w:rsid w:val="00F623BE"/>
    <w:rsid w:val="00F671C0"/>
    <w:rsid w:val="00F831C7"/>
    <w:rsid w:val="00F905E8"/>
    <w:rsid w:val="00F91651"/>
    <w:rsid w:val="00F92D1D"/>
    <w:rsid w:val="00F92E60"/>
    <w:rsid w:val="00F97D6D"/>
    <w:rsid w:val="00F97E01"/>
    <w:rsid w:val="00FB37D7"/>
    <w:rsid w:val="00FC1CCB"/>
    <w:rsid w:val="00FC369B"/>
    <w:rsid w:val="00FC6ED8"/>
    <w:rsid w:val="00FE14B7"/>
    <w:rsid w:val="00FE240A"/>
    <w:rsid w:val="00FE6473"/>
    <w:rsid w:val="00FF5C4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3EFD51"/>
  <w15:docId w15:val="{FA198C02-EBC6-40B9-9937-3BB4023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0B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37CAB"/>
    <w:pPr>
      <w:outlineLvl w:val="0"/>
    </w:pPr>
    <w:rPr>
      <w:rFonts w:ascii="Calibri" w:eastAsiaTheme="minorEastAsia" w:hAnsi="Calibri" w:cstheme="min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A37CAB"/>
    <w:rPr>
      <w:rFonts w:ascii="Calibri" w:eastAsiaTheme="minorEastAsia" w:hAnsi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4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04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04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4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Shoreham  Village- Occupancy Rates by Month</a:t>
            </a:r>
            <a:endParaRPr lang="en-US" sz="1200"/>
          </a:p>
          <a:p>
            <a:pPr>
              <a:defRPr/>
            </a:pPr>
            <a:r>
              <a:rPr lang="en-US" sz="1200" b="1" i="0" baseline="0"/>
              <a:t>(Q3 Oct - December 21/22)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Occupancy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0.95199999999999996</c:v>
                </c:pt>
                <c:pt idx="1">
                  <c:v>0.94199999999999995</c:v>
                </c:pt>
                <c:pt idx="2">
                  <c:v>0.94899999999999995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1-4837-9E95-3E8641AEF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19072"/>
        <c:axId val="146064128"/>
      </c:barChart>
      <c:catAx>
        <c:axId val="14601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064128"/>
        <c:crosses val="autoZero"/>
        <c:auto val="1"/>
        <c:lblAlgn val="ctr"/>
        <c:lblOffset val="100"/>
        <c:noMultiLvlLbl val="0"/>
      </c:catAx>
      <c:valAx>
        <c:axId val="146064128"/>
        <c:scaling>
          <c:orientation val="minMax"/>
          <c:max val="1"/>
          <c:min val="0.9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6019072"/>
        <c:crosses val="autoZero"/>
        <c:crossBetween val="between"/>
        <c:majorUnit val="0.05"/>
        <c:minorUnit val="4.0000000000000034E-4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200" b="1" i="0" baseline="0"/>
              <a:t>Shoreham Village - Camparison by Quarter</a:t>
            </a:r>
          </a:p>
          <a:p>
            <a:pPr algn="ctr">
              <a:defRPr/>
            </a:pPr>
            <a:r>
              <a: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2020/21</a:t>
            </a:r>
            <a:r>
              <a:rPr lang="en-US" sz="1200" b="1" i="0" baseline="0"/>
              <a:t> vs 2021/22</a:t>
            </a:r>
          </a:p>
        </c:rich>
      </c:tx>
      <c:layout>
        <c:manualLayout>
          <c:xMode val="edge"/>
          <c:yMode val="edge"/>
          <c:x val="0.2779744459025959"/>
          <c:y val="3.57142857142857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1st Qrt</c:v>
                </c:pt>
                <c:pt idx="1">
                  <c:v>2nd Qrt</c:v>
                </c:pt>
                <c:pt idx="2">
                  <c:v>3rd Qrt</c:v>
                </c:pt>
                <c:pt idx="3">
                  <c:v>4th Qrt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0.96399999999999997</c:v>
                </c:pt>
                <c:pt idx="1">
                  <c:v>0.92449999999999999</c:v>
                </c:pt>
                <c:pt idx="2">
                  <c:v>0.92500000000000004</c:v>
                </c:pt>
                <c:pt idx="3">
                  <c:v>0.91710000000000003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F-493E-8E45-4B05A1192CC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18288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1st Qrt</c:v>
                </c:pt>
                <c:pt idx="1">
                  <c:v>2nd Qrt</c:v>
                </c:pt>
                <c:pt idx="2">
                  <c:v>3rd Qrt</c:v>
                </c:pt>
                <c:pt idx="3">
                  <c:v>4th Qrt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0.93320000000000003</c:v>
                </c:pt>
                <c:pt idx="1">
                  <c:v>0.94569999999999999</c:v>
                </c:pt>
                <c:pt idx="2">
                  <c:v>0.94769999999999999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5F-493E-8E45-4B05A1192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08320"/>
        <c:axId val="154994176"/>
      </c:barChart>
      <c:catAx>
        <c:axId val="154808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994176"/>
        <c:crosses val="autoZero"/>
        <c:auto val="1"/>
        <c:lblAlgn val="ctr"/>
        <c:lblOffset val="100"/>
        <c:noMultiLvlLbl val="0"/>
      </c:catAx>
      <c:valAx>
        <c:axId val="154994176"/>
        <c:scaling>
          <c:orientation val="minMax"/>
          <c:max val="1"/>
          <c:min val="0.9"/>
        </c:scaling>
        <c:delete val="0"/>
        <c:axPos val="l"/>
        <c:majorGridlines/>
        <c:minorGridlines/>
        <c:numFmt formatCode="0.00%" sourceLinked="1"/>
        <c:majorTickMark val="none"/>
        <c:minorTickMark val="none"/>
        <c:tickLblPos val="nextTo"/>
        <c:crossAx val="154808320"/>
        <c:crosses val="autoZero"/>
        <c:crossBetween val="between"/>
        <c:majorUnit val="0.05"/>
        <c:minorUnit val="1.0000000000000005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 </a:t>
            </a:r>
            <a:r>
              <a:rPr lang="en-US" sz="1400" b="1" i="0" baseline="0">
                <a:effectLst/>
              </a:rPr>
              <a:t>Shoreham Village - </a:t>
            </a:r>
            <a:r>
              <a:rPr lang="en-US" sz="1400" b="1" i="0" u="none" strike="noStrike" baseline="0">
                <a:effectLst/>
              </a:rPr>
              <a:t>Number of Incidents</a:t>
            </a:r>
            <a:endParaRPr lang="en-US" b="1"/>
          </a:p>
        </c:rich>
      </c:tx>
      <c:layout>
        <c:manualLayout>
          <c:xMode val="edge"/>
          <c:yMode val="edge"/>
          <c:x val="0.28627604197877121"/>
          <c:y val="3.7348272642390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Q3 20/21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49</c:v>
                </c:pt>
                <c:pt idx="2">
                  <c:v>35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6-4266-9D7B-F189F710A54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16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66-4266-9D7B-F189F710A54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16</c:v>
                </c:pt>
                <c:pt idx="1">
                  <c:v>49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66-4266-9D7B-F189F710A54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28</c:v>
                </c:pt>
                <c:pt idx="1">
                  <c:v>35</c:v>
                </c:pt>
                <c:pt idx="2">
                  <c:v>44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66-4266-9D7B-F189F710A54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166-4266-9D7B-F189F710A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725888"/>
        <c:axId val="176290048"/>
      </c:barChart>
      <c:catAx>
        <c:axId val="16672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90048"/>
        <c:crosses val="autoZero"/>
        <c:auto val="1"/>
        <c:lblAlgn val="ctr"/>
        <c:lblOffset val="100"/>
        <c:noMultiLvlLbl val="0"/>
      </c:catAx>
      <c:valAx>
        <c:axId val="17629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2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Shoreham Village - Resident Incident Rate per 1000 Bed Days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Q3 20/21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3.56</c:v>
                </c:pt>
                <c:pt idx="1">
                  <c:v>6.47</c:v>
                </c:pt>
                <c:pt idx="2">
                  <c:v>4.5999999999999996</c:v>
                </c:pt>
                <c:pt idx="3">
                  <c:v>5.0199999999999996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4-47E4-865F-444A6FA402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0.79</c:v>
                </c:pt>
                <c:pt idx="1">
                  <c:v>6.62</c:v>
                </c:pt>
                <c:pt idx="2">
                  <c:v>2.11</c:v>
                </c:pt>
                <c:pt idx="3">
                  <c:v>6.09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4-47E4-865F-444A6FA402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2.0699999999999998</c:v>
                </c:pt>
                <c:pt idx="1">
                  <c:v>6.33</c:v>
                </c:pt>
                <c:pt idx="2">
                  <c:v>4.5199999999999996</c:v>
                </c:pt>
                <c:pt idx="3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B4-47E4-865F-444A6FA402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3.6</c:v>
                </c:pt>
                <c:pt idx="1">
                  <c:v>4.5</c:v>
                </c:pt>
                <c:pt idx="2">
                  <c:v>5.67</c:v>
                </c:pt>
                <c:pt idx="3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B4-47E4-865F-444A6FA402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3B4-47E4-865F-444A6FA4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195712"/>
        <c:axId val="229140352"/>
      </c:barChart>
      <c:catAx>
        <c:axId val="2281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140352"/>
        <c:crosses val="autoZero"/>
        <c:auto val="1"/>
        <c:lblAlgn val="ctr"/>
        <c:lblOffset val="100"/>
        <c:noMultiLvlLbl val="0"/>
      </c:catAx>
      <c:valAx>
        <c:axId val="22914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1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Resident</a:t>
            </a:r>
            <a:r>
              <a:rPr lang="en-US" sz="1200" baseline="0"/>
              <a:t> Infections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Q3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7-493A-AB68-FA8D0BB1A0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7-493A-AB68-FA8D0BB1A0B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97-493A-AB68-FA8D0BB1A0B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97-493A-AB68-FA8D0BB1A0B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7397-493A-AB68-FA8D0BB1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17888"/>
        <c:axId val="233543168"/>
      </c:barChart>
      <c:catAx>
        <c:axId val="23131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3543168"/>
        <c:crosses val="autoZero"/>
        <c:auto val="1"/>
        <c:lblAlgn val="ctr"/>
        <c:lblOffset val="100"/>
        <c:noMultiLvlLbl val="0"/>
      </c:catAx>
      <c:valAx>
        <c:axId val="233543168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13178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Infection Rate/</a:t>
            </a:r>
            <a:r>
              <a:rPr lang="en-US" sz="1200" baseline="0"/>
              <a:t>1000 Bed Days</a:t>
            </a:r>
            <a:endParaRPr lang="en-US" sz="1200"/>
          </a:p>
        </c:rich>
      </c:tx>
      <c:layout>
        <c:manualLayout>
          <c:xMode val="edge"/>
          <c:yMode val="edge"/>
          <c:x val="0.25243051349350559"/>
          <c:y val="3.732871190144294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Q3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0.52</c:v>
                </c:pt>
                <c:pt idx="1">
                  <c:v>0.26</c:v>
                </c:pt>
                <c:pt idx="2">
                  <c:v>0.26</c:v>
                </c:pt>
                <c:pt idx="3" formatCode="0.00">
                  <c:v>0.39</c:v>
                </c:pt>
                <c:pt idx="4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5-4B78-A41C-AF04E04523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0.64</c:v>
                </c:pt>
                <c:pt idx="1">
                  <c:v>0.64</c:v>
                </c:pt>
                <c:pt idx="2">
                  <c:v>1.28</c:v>
                </c:pt>
                <c:pt idx="3" formatCode="0.00">
                  <c:v>0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5-4B78-A41C-AF04E04523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0.39</c:v>
                </c:pt>
                <c:pt idx="1">
                  <c:v>1.32</c:v>
                </c:pt>
                <c:pt idx="2">
                  <c:v>1.32</c:v>
                </c:pt>
                <c:pt idx="3">
                  <c:v>0.13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B5-4B78-A41C-AF04E04523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0.12</c:v>
                </c:pt>
                <c:pt idx="1">
                  <c:v>0.77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B5-4B78-A41C-AF04E04523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E4B5-4B78-A41C-AF04E0452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43904"/>
        <c:axId val="146857984"/>
      </c:barChart>
      <c:catAx>
        <c:axId val="14684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857984"/>
        <c:crosses val="autoZero"/>
        <c:auto val="1"/>
        <c:lblAlgn val="ctr"/>
        <c:lblOffset val="100"/>
        <c:noMultiLvlLbl val="0"/>
      </c:catAx>
      <c:valAx>
        <c:axId val="146857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8439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Hand</a:t>
            </a:r>
            <a:r>
              <a:rPr lang="en-US" sz="1200" baseline="0"/>
              <a:t> Hygiene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Q3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pattFill prst="lt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0-42FA-4545-946A-AD557E71A10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0.88200000000000001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6-425A-AA76-FB48C43384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0.94699999999999995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6-425A-AA76-FB48C43384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Sheet1!$D$2</c:f>
              <c:numCache>
                <c:formatCode>0.00%</c:formatCode>
                <c:ptCount val="1"/>
                <c:pt idx="0">
                  <c:v>0.95699999999999996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36-425A-AA76-FB48C43384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36-425A-AA76-FB48C433845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FB36-425A-AA76-FB48C4338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72800"/>
        <c:axId val="154701824"/>
      </c:barChart>
      <c:catAx>
        <c:axId val="15217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701824"/>
        <c:crosses val="autoZero"/>
        <c:auto val="1"/>
        <c:lblAlgn val="ctr"/>
        <c:lblOffset val="100"/>
        <c:noMultiLvlLbl val="0"/>
      </c:catAx>
      <c:valAx>
        <c:axId val="154701824"/>
        <c:scaling>
          <c:orientation val="minMax"/>
          <c:max val="1"/>
          <c:min val="0.8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52172800"/>
        <c:crosses val="autoZero"/>
        <c:crossBetween val="between"/>
        <c:majorUnit val="5.000000000000001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 baseline="0">
                <a:solidFill>
                  <a:sysClr val="windowText" lastClr="000000"/>
                </a:solidFill>
              </a:rPr>
              <a:t>Shoreham Village - Volunteers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4266841644794412E-2"/>
          <c:y val="0.14116907261592301"/>
          <c:w val="0.89019685039370144"/>
          <c:h val="0.67502867697093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Sheet1!$A$2:$B$6</c:f>
              <c:strCache>
                <c:ptCount val="4"/>
                <c:pt idx="1">
                  <c:v>Active Volunteers</c:v>
                </c:pt>
                <c:pt idx="2">
                  <c:v>New Volunteers</c:v>
                </c:pt>
                <c:pt idx="3">
                  <c:v>Retired/Inactive Volunteers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150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0-474E-9349-BCAAD3DE6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444800"/>
        <c:axId val="162446336"/>
      </c:barChart>
      <c:catAx>
        <c:axId val="1624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6336"/>
        <c:crosses val="autoZero"/>
        <c:auto val="1"/>
        <c:lblAlgn val="ctr"/>
        <c:lblOffset val="100"/>
        <c:noMultiLvlLbl val="0"/>
      </c:catAx>
      <c:valAx>
        <c:axId val="16244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480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0F841-F7EE-487D-BCC0-61BD06E3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1196</Words>
  <Characters>6821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psargenthamer</dc:creator>
  <cp:lastModifiedBy>Tammy Conrad</cp:lastModifiedBy>
  <cp:revision>2</cp:revision>
  <cp:lastPrinted>2018-09-05T02:14:00Z</cp:lastPrinted>
  <dcterms:created xsi:type="dcterms:W3CDTF">2022-03-09T12:14:00Z</dcterms:created>
  <dcterms:modified xsi:type="dcterms:W3CDTF">2022-03-09T12:14:00Z</dcterms:modified>
</cp:coreProperties>
</file>