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81" w:rsidRDefault="00DE2A81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87268C" w:rsidP="0087268C">
      <w:pPr>
        <w:jc w:val="center"/>
        <w:rPr>
          <w:rFonts w:ascii="Calibri" w:hAnsi="Calibri" w:cs="ArialNarrow"/>
          <w:b/>
        </w:rPr>
      </w:pPr>
      <w:r>
        <w:rPr>
          <w:rFonts w:ascii="Calibri" w:hAnsi="Calibri" w:cs="ArialNarrow"/>
          <w:b/>
          <w:noProof/>
          <w:lang w:val="en-CA" w:eastAsia="en-CA"/>
        </w:rPr>
        <w:drawing>
          <wp:inline distT="0" distB="0" distL="0" distR="0">
            <wp:extent cx="4694555" cy="1798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4A63A6" w:rsidRDefault="004A63A6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Shoreham Village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Resident Care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Scorecard</w:t>
      </w:r>
    </w:p>
    <w:p w:rsidR="00EF2C0A" w:rsidRDefault="00EF2C0A" w:rsidP="00EF2C0A">
      <w:pPr>
        <w:jc w:val="center"/>
        <w:rPr>
          <w:rFonts w:ascii="Calibri" w:hAnsi="Calibri" w:cs="ArialNarrow"/>
          <w:b/>
          <w:sz w:val="48"/>
          <w:szCs w:val="48"/>
        </w:rPr>
      </w:pPr>
    </w:p>
    <w:p w:rsidR="00EF2C0A" w:rsidRDefault="00336B28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4th</w:t>
      </w:r>
      <w:r w:rsidR="00D77584">
        <w:rPr>
          <w:rFonts w:ascii="Calibri" w:hAnsi="Calibri" w:cs="ArialNarrow"/>
          <w:b/>
          <w:sz w:val="48"/>
          <w:szCs w:val="48"/>
        </w:rPr>
        <w:t xml:space="preserve"> Quarter 202</w:t>
      </w:r>
      <w:r w:rsidR="00CA219D">
        <w:rPr>
          <w:rFonts w:ascii="Calibri" w:hAnsi="Calibri" w:cs="ArialNarrow"/>
          <w:b/>
          <w:sz w:val="48"/>
          <w:szCs w:val="48"/>
        </w:rPr>
        <w:t>1</w:t>
      </w:r>
      <w:r w:rsidR="00D77584">
        <w:rPr>
          <w:rFonts w:ascii="Calibri" w:hAnsi="Calibri" w:cs="ArialNarrow"/>
          <w:b/>
          <w:sz w:val="48"/>
          <w:szCs w:val="48"/>
        </w:rPr>
        <w:t>/2</w:t>
      </w:r>
      <w:r w:rsidR="00CA219D">
        <w:rPr>
          <w:rFonts w:ascii="Calibri" w:hAnsi="Calibri" w:cs="ArialNarrow"/>
          <w:b/>
          <w:sz w:val="48"/>
          <w:szCs w:val="48"/>
        </w:rPr>
        <w:t>2</w:t>
      </w:r>
      <w:r>
        <w:rPr>
          <w:rFonts w:ascii="Calibri" w:hAnsi="Calibri" w:cs="ArialNarrow"/>
          <w:b/>
          <w:sz w:val="48"/>
          <w:szCs w:val="48"/>
        </w:rPr>
        <w:t xml:space="preserve"> &amp;</w:t>
      </w:r>
    </w:p>
    <w:p w:rsidR="00336B28" w:rsidRDefault="00336B28" w:rsidP="00EF2C0A">
      <w:pPr>
        <w:jc w:val="center"/>
        <w:rPr>
          <w:rFonts w:ascii="Calibri" w:hAnsi="Calibri" w:cs="ArialNarrow"/>
          <w:b/>
          <w:sz w:val="48"/>
          <w:szCs w:val="48"/>
        </w:rPr>
      </w:pPr>
      <w:r>
        <w:rPr>
          <w:rFonts w:ascii="Calibri" w:hAnsi="Calibri" w:cs="ArialNarrow"/>
          <w:b/>
          <w:sz w:val="48"/>
          <w:szCs w:val="48"/>
        </w:rPr>
        <w:t>Annual Report</w:t>
      </w:r>
    </w:p>
    <w:p w:rsidR="00EF2C0A" w:rsidRDefault="00EF2C0A" w:rsidP="00DE2A81">
      <w:pPr>
        <w:rPr>
          <w:rFonts w:ascii="Calibri" w:hAnsi="Calibri" w:cs="ArialNarrow"/>
          <w:b/>
          <w:sz w:val="48"/>
          <w:szCs w:val="48"/>
        </w:rPr>
      </w:pPr>
    </w:p>
    <w:p w:rsidR="005B5C4A" w:rsidRDefault="005B5C4A" w:rsidP="00DE2A81">
      <w:pPr>
        <w:rPr>
          <w:rFonts w:ascii="Calibri" w:hAnsi="Calibri" w:cs="ArialNarrow"/>
          <w:b/>
          <w:sz w:val="48"/>
          <w:szCs w:val="48"/>
        </w:rPr>
      </w:pPr>
    </w:p>
    <w:p w:rsidR="00AA7A14" w:rsidRDefault="00AA7A14" w:rsidP="00DE2A81">
      <w:pPr>
        <w:rPr>
          <w:rFonts w:ascii="Calibri" w:hAnsi="Calibri" w:cs="ArialNarrow"/>
          <w:b/>
          <w:sz w:val="48"/>
          <w:szCs w:val="48"/>
        </w:rPr>
      </w:pPr>
    </w:p>
    <w:p w:rsidR="00AA7A14" w:rsidRDefault="00AA7A14" w:rsidP="00DE2A81">
      <w:pPr>
        <w:rPr>
          <w:rFonts w:ascii="Calibri" w:hAnsi="Calibri" w:cs="ArialNarrow"/>
          <w:b/>
          <w:sz w:val="48"/>
          <w:szCs w:val="48"/>
        </w:rPr>
      </w:pPr>
    </w:p>
    <w:p w:rsidR="00AA7A14" w:rsidRDefault="00AA7A14" w:rsidP="00DE2A81">
      <w:pPr>
        <w:rPr>
          <w:rFonts w:ascii="Calibri" w:hAnsi="Calibri" w:cs="ArialNarrow"/>
          <w:b/>
          <w:sz w:val="48"/>
          <w:szCs w:val="48"/>
        </w:rPr>
      </w:pPr>
    </w:p>
    <w:p w:rsidR="00AA7A14" w:rsidRDefault="00AA7A14" w:rsidP="00DE2A81">
      <w:pPr>
        <w:rPr>
          <w:rFonts w:ascii="Calibri" w:hAnsi="Calibri" w:cs="ArialNarrow"/>
          <w:b/>
          <w:sz w:val="48"/>
          <w:szCs w:val="48"/>
        </w:rPr>
      </w:pPr>
    </w:p>
    <w:p w:rsidR="00AA7A14" w:rsidRPr="00EF2C0A" w:rsidRDefault="00AA7A14" w:rsidP="00DE2A81">
      <w:pPr>
        <w:rPr>
          <w:rFonts w:ascii="Calibri" w:hAnsi="Calibri" w:cs="ArialNarrow"/>
          <w:b/>
          <w:sz w:val="48"/>
          <w:szCs w:val="48"/>
        </w:rPr>
      </w:pPr>
      <w:bookmarkStart w:id="0" w:name="_GoBack"/>
      <w:bookmarkEnd w:id="0"/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Occupancy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CF1910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2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Incident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  <w:t>4</w:t>
      </w:r>
    </w:p>
    <w:p w:rsidR="00EF2C0A" w:rsidRPr="00CF1910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Infection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8B127B">
        <w:rPr>
          <w:rFonts w:ascii="Calibri" w:hAnsi="Calibri" w:cs="ArialNarrow"/>
          <w:sz w:val="32"/>
          <w:szCs w:val="32"/>
        </w:rPr>
        <w:t>7</w:t>
      </w:r>
    </w:p>
    <w:p w:rsidR="008B127B" w:rsidRDefault="008B127B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Pressure Injury Summary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  <w:t>9</w:t>
      </w:r>
    </w:p>
    <w:p w:rsidR="00EF2C0A" w:rsidRDefault="00EF2C0A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 w:rsidRPr="00CF1910">
        <w:rPr>
          <w:rFonts w:ascii="Calibri" w:hAnsi="Calibri" w:cs="ArialNarrow"/>
          <w:sz w:val="32"/>
          <w:szCs w:val="32"/>
        </w:rPr>
        <w:t>Hand Hygiene Rate</w:t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027301" w:rsidRPr="00CF1910">
        <w:rPr>
          <w:rFonts w:ascii="Calibri" w:hAnsi="Calibri" w:cs="ArialNarrow"/>
          <w:sz w:val="32"/>
          <w:szCs w:val="32"/>
        </w:rPr>
        <w:tab/>
      </w:r>
      <w:r w:rsidR="008B127B">
        <w:rPr>
          <w:rFonts w:ascii="Calibri" w:hAnsi="Calibri" w:cs="ArialNarrow"/>
          <w:sz w:val="32"/>
          <w:szCs w:val="32"/>
        </w:rPr>
        <w:t>10</w:t>
      </w:r>
    </w:p>
    <w:p w:rsidR="009B2164" w:rsidRPr="00CF1910" w:rsidRDefault="009B2164" w:rsidP="00EF2C0A">
      <w:pPr>
        <w:pStyle w:val="ListParagraph"/>
        <w:numPr>
          <w:ilvl w:val="0"/>
          <w:numId w:val="4"/>
        </w:numPr>
        <w:rPr>
          <w:rFonts w:ascii="Calibri" w:hAnsi="Calibri" w:cs="ArialNarrow"/>
          <w:sz w:val="32"/>
          <w:szCs w:val="32"/>
        </w:rPr>
      </w:pPr>
      <w:r>
        <w:rPr>
          <w:rFonts w:ascii="Calibri" w:hAnsi="Calibri" w:cs="ArialNarrow"/>
          <w:sz w:val="32"/>
          <w:szCs w:val="32"/>
        </w:rPr>
        <w:t>Volunteer Rates</w:t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>
        <w:rPr>
          <w:rFonts w:ascii="Calibri" w:hAnsi="Calibri" w:cs="ArialNarrow"/>
          <w:sz w:val="32"/>
          <w:szCs w:val="32"/>
        </w:rPr>
        <w:tab/>
      </w:r>
      <w:r w:rsidR="008B127B">
        <w:rPr>
          <w:rFonts w:ascii="Calibri" w:hAnsi="Calibri" w:cs="ArialNarrow"/>
          <w:sz w:val="32"/>
          <w:szCs w:val="32"/>
        </w:rPr>
        <w:t>11</w:t>
      </w: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Pr="00CF1910" w:rsidRDefault="00EF2C0A" w:rsidP="00DE2A81">
      <w:pPr>
        <w:rPr>
          <w:rFonts w:ascii="Calibri" w:hAnsi="Calibri" w:cs="ArialNarrow"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5B5C4A" w:rsidRDefault="005B5C4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2958B0" w:rsidP="002958B0">
      <w:pPr>
        <w:tabs>
          <w:tab w:val="left" w:pos="6252"/>
        </w:tabs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ab/>
      </w: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7D2620" w:rsidRDefault="007D2620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A61FAD" w:rsidRDefault="00A61FAD" w:rsidP="00DE2A81">
      <w:pPr>
        <w:rPr>
          <w:rFonts w:ascii="Calibri" w:hAnsi="Calibri" w:cs="ArialNarrow"/>
          <w:b/>
        </w:rPr>
      </w:pPr>
    </w:p>
    <w:p w:rsidR="00EF2C0A" w:rsidRDefault="00EF2C0A" w:rsidP="00DE2A81">
      <w:pPr>
        <w:rPr>
          <w:rFonts w:ascii="Calibri" w:hAnsi="Calibri" w:cs="ArialNarrow"/>
          <w:b/>
        </w:rPr>
      </w:pPr>
    </w:p>
    <w:p w:rsidR="007D2620" w:rsidRDefault="007D2620" w:rsidP="00DE2A81">
      <w:pPr>
        <w:rPr>
          <w:rFonts w:ascii="Calibri" w:hAnsi="Calibri" w:cs="ArialNarrow"/>
          <w:b/>
        </w:rPr>
      </w:pPr>
    </w:p>
    <w:p w:rsidR="00BE065B" w:rsidRDefault="007C02F8" w:rsidP="00BE065B">
      <w:pPr>
        <w:pStyle w:val="Heading1"/>
      </w:pPr>
      <w:r>
        <w:t>1.0</w:t>
      </w:r>
      <w:r>
        <w:tab/>
      </w:r>
      <w:r w:rsidR="00BE065B">
        <w:t>Shoreham Village Occupancy Rate Q</w:t>
      </w:r>
      <w:r w:rsidR="00336B28">
        <w:t>4</w:t>
      </w:r>
      <w:r w:rsidR="00BE065B">
        <w:t xml:space="preserve"> </w:t>
      </w:r>
      <w:r w:rsidR="00336B28">
        <w:t>Jan</w:t>
      </w:r>
      <w:r w:rsidR="00C82E0F">
        <w:t xml:space="preserve"> </w:t>
      </w:r>
      <w:r w:rsidR="00001E76">
        <w:t xml:space="preserve">- </w:t>
      </w:r>
      <w:r w:rsidR="00336B28">
        <w:t>March</w:t>
      </w:r>
      <w:r w:rsidR="002A3CF7">
        <w:t xml:space="preserve"> 202</w:t>
      </w:r>
      <w:r w:rsidR="00CA219D">
        <w:t>1/22</w:t>
      </w:r>
      <w:r w:rsidR="008B5A9E">
        <w:t xml:space="preserve"> </w:t>
      </w:r>
    </w:p>
    <w:p w:rsidR="00BE065B" w:rsidRDefault="00BE065B" w:rsidP="00BE065B">
      <w:pPr>
        <w:rPr>
          <w:rFonts w:ascii="Calibri" w:hAnsi="Calibri" w:cs="ArialNarrow"/>
          <w:b/>
        </w:rPr>
      </w:pPr>
    </w:p>
    <w:p w:rsidR="00BE065B" w:rsidRDefault="00BE065B" w:rsidP="00881F7F">
      <w:pPr>
        <w:pStyle w:val="Heading1"/>
      </w:pPr>
      <w:r w:rsidRPr="00AE20EC">
        <w:lastRenderedPageBreak/>
        <w:t xml:space="preserve">The Average Occupancy Rate for the </w:t>
      </w:r>
      <w:r w:rsidR="00FE6473">
        <w:t>Q</w:t>
      </w:r>
      <w:r w:rsidR="00336B28">
        <w:t>4</w:t>
      </w:r>
      <w:r w:rsidR="00EF7D9B">
        <w:t xml:space="preserve"> </w:t>
      </w:r>
      <w:r w:rsidR="00336B28">
        <w:t>Jan - March</w:t>
      </w:r>
      <w:r w:rsidR="002A3CF7">
        <w:t xml:space="preserve"> 202</w:t>
      </w:r>
      <w:r w:rsidR="00CA219D">
        <w:t>1</w:t>
      </w:r>
      <w:r w:rsidR="002A3CF7">
        <w:t>/2</w:t>
      </w:r>
      <w:r w:rsidR="00CA219D">
        <w:t>2</w:t>
      </w:r>
      <w:r w:rsidR="00FE6473">
        <w:t xml:space="preserve"> </w:t>
      </w:r>
      <w:r w:rsidRPr="00AE20EC">
        <w:t xml:space="preserve">– </w:t>
      </w:r>
      <w:r w:rsidR="00965A7E">
        <w:t>91.07</w:t>
      </w:r>
      <w:r w:rsidR="0087268C">
        <w:t>%</w:t>
      </w:r>
      <w:r w:rsidR="00881F7F">
        <w:t xml:space="preserve"> (average </w:t>
      </w:r>
      <w:r w:rsidR="00965A7E">
        <w:t>7.95</w:t>
      </w:r>
      <w:r w:rsidR="0087268C">
        <w:t xml:space="preserve"> </w:t>
      </w:r>
      <w:r w:rsidR="00001E76">
        <w:t>vacant beds per day)</w:t>
      </w:r>
      <w:r w:rsidR="00EF3F41">
        <w:t>.</w:t>
      </w:r>
    </w:p>
    <w:p w:rsidR="00BE065B" w:rsidRDefault="00BE065B" w:rsidP="000260BD">
      <w:pPr>
        <w:rPr>
          <w:rFonts w:ascii="Calibri" w:hAnsi="Calibri" w:cs="ArialNarrow"/>
        </w:rPr>
      </w:pPr>
    </w:p>
    <w:p w:rsidR="00BE065B" w:rsidRDefault="00BE065B" w:rsidP="000260BD">
      <w:pPr>
        <w:rPr>
          <w:rFonts w:ascii="Calibri" w:hAnsi="Calibri" w:cs="ArialNarrow"/>
        </w:rPr>
      </w:pPr>
      <w:r w:rsidRPr="000D12E5">
        <w:rPr>
          <w:rFonts w:ascii="Calibri" w:hAnsi="Calibri" w:cs="ArialNarrow"/>
          <w:noProof/>
          <w:bdr w:val="single" w:sz="6" w:space="0" w:color="auto"/>
          <w:lang w:val="en-CA" w:eastAsia="en-CA"/>
        </w:rPr>
        <w:drawing>
          <wp:inline distT="0" distB="0" distL="0" distR="0">
            <wp:extent cx="6126480" cy="3257550"/>
            <wp:effectExtent l="0" t="0" r="762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65B" w:rsidRDefault="00BE065B" w:rsidP="000260BD">
      <w:pPr>
        <w:rPr>
          <w:rFonts w:ascii="Calibri" w:hAnsi="Calibri" w:cs="ArialNarrow"/>
        </w:rPr>
      </w:pPr>
    </w:p>
    <w:p w:rsidR="006A2058" w:rsidRDefault="006A2058" w:rsidP="000260BD">
      <w:pPr>
        <w:rPr>
          <w:rFonts w:ascii="Calibri" w:hAnsi="Calibri" w:cs="ArialNarrow"/>
        </w:rPr>
      </w:pPr>
      <w:r w:rsidRPr="004C2D51">
        <w:rPr>
          <w:rFonts w:ascii="Calibri" w:hAnsi="Calibri" w:cs="ArialNarrow"/>
          <w:noProof/>
          <w:bdr w:val="single" w:sz="4" w:space="0" w:color="auto"/>
          <w:lang w:val="en-CA" w:eastAsia="en-CA"/>
        </w:rPr>
        <w:drawing>
          <wp:inline distT="0" distB="0" distL="0" distR="0">
            <wp:extent cx="6126480" cy="3267075"/>
            <wp:effectExtent l="0" t="0" r="762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2620" w:rsidRDefault="007D2620" w:rsidP="000260BD">
      <w:pPr>
        <w:rPr>
          <w:rFonts w:ascii="Calibri" w:hAnsi="Calibri" w:cs="ArialNarrow"/>
          <w:b/>
        </w:rPr>
      </w:pPr>
    </w:p>
    <w:p w:rsidR="000A4A87" w:rsidRDefault="000A4A87" w:rsidP="000260BD">
      <w:pPr>
        <w:rPr>
          <w:rFonts w:ascii="Calibri" w:hAnsi="Calibri" w:cs="ArialNarrow"/>
          <w:b/>
        </w:rPr>
      </w:pPr>
    </w:p>
    <w:p w:rsidR="003E57E2" w:rsidRDefault="003E57E2" w:rsidP="000260BD">
      <w:pPr>
        <w:rPr>
          <w:rFonts w:ascii="Calibri" w:hAnsi="Calibri" w:cs="ArialNarrow"/>
          <w:b/>
        </w:rPr>
      </w:pPr>
    </w:p>
    <w:p w:rsidR="003E57E2" w:rsidRDefault="003E57E2" w:rsidP="000260BD">
      <w:pPr>
        <w:rPr>
          <w:rFonts w:ascii="Calibri" w:hAnsi="Calibri" w:cs="ArialNarrow"/>
          <w:b/>
        </w:rPr>
      </w:pPr>
    </w:p>
    <w:p w:rsidR="000260BD" w:rsidRPr="00C62BFD" w:rsidRDefault="000260BD" w:rsidP="000260BD">
      <w:pPr>
        <w:rPr>
          <w:rFonts w:ascii="Calibri" w:hAnsi="Calibri" w:cs="ArialNarrow"/>
          <w:b/>
        </w:rPr>
      </w:pPr>
      <w:r w:rsidRPr="00C62BFD">
        <w:rPr>
          <w:rFonts w:ascii="Calibri" w:hAnsi="Calibri" w:cs="ArialNarrow"/>
          <w:b/>
        </w:rPr>
        <w:t>Comments:</w:t>
      </w:r>
    </w:p>
    <w:p w:rsidR="006F314C" w:rsidRDefault="006F314C" w:rsidP="000260BD">
      <w:pPr>
        <w:rPr>
          <w:rFonts w:ascii="Calibri" w:hAnsi="Calibri" w:cs="ArialNarrow"/>
        </w:rPr>
      </w:pPr>
    </w:p>
    <w:p w:rsidR="007A7E7D" w:rsidRDefault="00CF4AE4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 xml:space="preserve">The </w:t>
      </w:r>
      <w:r w:rsidR="00F048BA">
        <w:rPr>
          <w:rFonts w:ascii="Calibri" w:hAnsi="Calibri" w:cs="ArialNarrow"/>
        </w:rPr>
        <w:t xml:space="preserve">DHW target </w:t>
      </w:r>
      <w:r>
        <w:rPr>
          <w:rFonts w:ascii="Calibri" w:hAnsi="Calibri" w:cs="ArialNarrow"/>
        </w:rPr>
        <w:t xml:space="preserve">occupancy rate </w:t>
      </w:r>
      <w:r w:rsidR="001D0D53">
        <w:rPr>
          <w:rFonts w:ascii="Calibri" w:hAnsi="Calibri" w:cs="ArialNarrow"/>
        </w:rPr>
        <w:t xml:space="preserve">for budgeting </w:t>
      </w:r>
      <w:r>
        <w:rPr>
          <w:rFonts w:ascii="Calibri" w:hAnsi="Calibri" w:cs="ArialNarrow"/>
        </w:rPr>
        <w:t>i</w:t>
      </w:r>
      <w:r w:rsidR="00F048BA">
        <w:rPr>
          <w:rFonts w:ascii="Calibri" w:hAnsi="Calibri" w:cs="ArialNarrow"/>
        </w:rPr>
        <w:t>s 99.2%</w:t>
      </w:r>
      <w:r w:rsidR="001D0D53">
        <w:rPr>
          <w:rFonts w:ascii="Calibri" w:hAnsi="Calibri" w:cs="ArialNarrow"/>
        </w:rPr>
        <w:t>. F</w:t>
      </w:r>
      <w:r w:rsidR="00F048BA">
        <w:rPr>
          <w:rFonts w:ascii="Calibri" w:hAnsi="Calibri" w:cs="ArialNarrow"/>
        </w:rPr>
        <w:t xml:space="preserve">or Shoreham Village </w:t>
      </w:r>
      <w:r w:rsidR="001D0D53">
        <w:rPr>
          <w:rFonts w:ascii="Calibri" w:hAnsi="Calibri" w:cs="ArialNarrow"/>
        </w:rPr>
        <w:t xml:space="preserve">this </w:t>
      </w:r>
      <w:r w:rsidR="00F048BA">
        <w:rPr>
          <w:rFonts w:ascii="Calibri" w:hAnsi="Calibri" w:cs="ArialNarrow"/>
        </w:rPr>
        <w:t xml:space="preserve">equates to an average of .7 vacant beds per day.  </w:t>
      </w:r>
    </w:p>
    <w:p w:rsidR="007A7E7D" w:rsidRDefault="007A7E7D" w:rsidP="00CF4AE4">
      <w:pPr>
        <w:rPr>
          <w:rFonts w:ascii="Calibri" w:hAnsi="Calibri" w:cs="ArialNarrow"/>
        </w:rPr>
      </w:pPr>
    </w:p>
    <w:p w:rsidR="009848F5" w:rsidRDefault="001D0D53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This</w:t>
      </w:r>
      <w:r w:rsidR="00F048BA">
        <w:rPr>
          <w:rFonts w:ascii="Calibri" w:hAnsi="Calibri" w:cs="ArialNarrow"/>
        </w:rPr>
        <w:t xml:space="preserve"> quarter</w:t>
      </w:r>
      <w:r w:rsidR="007E6268">
        <w:rPr>
          <w:rFonts w:ascii="Calibri" w:hAnsi="Calibri" w:cs="ArialNarrow"/>
        </w:rPr>
        <w:t xml:space="preserve"> the</w:t>
      </w:r>
      <w:r w:rsidR="00F048BA">
        <w:rPr>
          <w:rFonts w:ascii="Calibri" w:hAnsi="Calibri" w:cs="ArialNarrow"/>
        </w:rPr>
        <w:t xml:space="preserve"> occupancy rate was </w:t>
      </w:r>
      <w:r w:rsidR="00ED6671">
        <w:rPr>
          <w:rFonts w:ascii="Calibri" w:hAnsi="Calibri" w:cs="ArialNarrow"/>
        </w:rPr>
        <w:t>9</w:t>
      </w:r>
      <w:r w:rsidR="00C441E0">
        <w:rPr>
          <w:rFonts w:ascii="Calibri" w:hAnsi="Calibri" w:cs="ArialNarrow"/>
        </w:rPr>
        <w:t>1</w:t>
      </w:r>
      <w:r w:rsidR="00ED6671">
        <w:rPr>
          <w:rFonts w:ascii="Calibri" w:hAnsi="Calibri" w:cs="ArialNarrow"/>
        </w:rPr>
        <w:t>.</w:t>
      </w:r>
      <w:r w:rsidR="00C441E0">
        <w:rPr>
          <w:rFonts w:ascii="Calibri" w:hAnsi="Calibri" w:cs="ArialNarrow"/>
        </w:rPr>
        <w:t>0</w:t>
      </w:r>
      <w:r w:rsidR="0077397D">
        <w:rPr>
          <w:rFonts w:ascii="Calibri" w:hAnsi="Calibri" w:cs="ArialNarrow"/>
        </w:rPr>
        <w:t>7</w:t>
      </w:r>
      <w:r w:rsidR="00ED6671">
        <w:rPr>
          <w:rFonts w:ascii="Calibri" w:hAnsi="Calibri" w:cs="ArialNarrow"/>
        </w:rPr>
        <w:t>% (</w:t>
      </w:r>
      <w:r w:rsidR="00C441E0">
        <w:rPr>
          <w:rFonts w:ascii="Calibri" w:hAnsi="Calibri" w:cs="ArialNarrow"/>
        </w:rPr>
        <w:t>7.95</w:t>
      </w:r>
      <w:r w:rsidR="002622EC">
        <w:rPr>
          <w:rFonts w:ascii="Calibri" w:hAnsi="Calibri" w:cs="ArialNarrow"/>
        </w:rPr>
        <w:t xml:space="preserve"> </w:t>
      </w:r>
      <w:r w:rsidR="00DE1D97">
        <w:rPr>
          <w:rFonts w:ascii="Calibri" w:hAnsi="Calibri" w:cs="ArialNarrow"/>
        </w:rPr>
        <w:t>average vacant beds per day)</w:t>
      </w:r>
      <w:r w:rsidR="00F048BA">
        <w:rPr>
          <w:rFonts w:ascii="Calibri" w:hAnsi="Calibri" w:cs="ArialNarrow"/>
        </w:rPr>
        <w:t xml:space="preserve">.  The </w:t>
      </w:r>
      <w:r w:rsidR="00C441E0">
        <w:rPr>
          <w:rFonts w:ascii="Calibri" w:hAnsi="Calibri" w:cs="ArialNarrow"/>
        </w:rPr>
        <w:t>rate as</w:t>
      </w:r>
      <w:r w:rsidR="000A4A87">
        <w:rPr>
          <w:rFonts w:ascii="Calibri" w:hAnsi="Calibri" w:cs="ArialNarrow"/>
        </w:rPr>
        <w:t xml:space="preserve"> </w:t>
      </w:r>
      <w:r w:rsidR="00C441E0">
        <w:rPr>
          <w:rFonts w:ascii="Calibri" w:hAnsi="Calibri" w:cs="ArialNarrow"/>
        </w:rPr>
        <w:t>de</w:t>
      </w:r>
      <w:r w:rsidR="001121A0">
        <w:rPr>
          <w:rFonts w:ascii="Calibri" w:hAnsi="Calibri" w:cs="ArialNarrow"/>
        </w:rPr>
        <w:t>creased over t</w:t>
      </w:r>
      <w:r w:rsidR="00C441E0">
        <w:rPr>
          <w:rFonts w:ascii="Calibri" w:hAnsi="Calibri" w:cs="ArialNarrow"/>
        </w:rPr>
        <w:t>he 3rd</w:t>
      </w:r>
      <w:r w:rsidR="0077397D">
        <w:rPr>
          <w:rFonts w:ascii="Calibri" w:hAnsi="Calibri" w:cs="ArialNarrow"/>
        </w:rPr>
        <w:t xml:space="preserve"> </w:t>
      </w:r>
      <w:r w:rsidR="00ED6671">
        <w:rPr>
          <w:rFonts w:ascii="Calibri" w:hAnsi="Calibri" w:cs="ArialNarrow"/>
        </w:rPr>
        <w:t>quarter of 20</w:t>
      </w:r>
      <w:r w:rsidR="001121A0">
        <w:rPr>
          <w:rFonts w:ascii="Calibri" w:hAnsi="Calibri" w:cs="ArialNarrow"/>
        </w:rPr>
        <w:t>21</w:t>
      </w:r>
      <w:r w:rsidR="00ED6671">
        <w:rPr>
          <w:rFonts w:ascii="Calibri" w:hAnsi="Calibri" w:cs="ArialNarrow"/>
        </w:rPr>
        <w:t>/2</w:t>
      </w:r>
      <w:r w:rsidR="001121A0">
        <w:rPr>
          <w:rFonts w:ascii="Calibri" w:hAnsi="Calibri" w:cs="ArialNarrow"/>
        </w:rPr>
        <w:t>2</w:t>
      </w:r>
      <w:r w:rsidR="00ED6671">
        <w:rPr>
          <w:rFonts w:ascii="Calibri" w:hAnsi="Calibri" w:cs="ArialNarrow"/>
        </w:rPr>
        <w:t xml:space="preserve"> </w:t>
      </w:r>
      <w:r w:rsidR="00C441E0">
        <w:rPr>
          <w:rFonts w:ascii="Calibri" w:hAnsi="Calibri" w:cs="ArialNarrow"/>
        </w:rPr>
        <w:t>(94.77</w:t>
      </w:r>
      <w:r w:rsidR="001121A0">
        <w:rPr>
          <w:rFonts w:ascii="Calibri" w:hAnsi="Calibri" w:cs="ArialNarrow"/>
        </w:rPr>
        <w:t xml:space="preserve">%) </w:t>
      </w:r>
      <w:r w:rsidR="00ED6671">
        <w:rPr>
          <w:rFonts w:ascii="Calibri" w:hAnsi="Calibri" w:cs="ArialNarrow"/>
        </w:rPr>
        <w:t xml:space="preserve">and </w:t>
      </w:r>
      <w:r w:rsidR="00C441E0">
        <w:rPr>
          <w:rFonts w:ascii="Calibri" w:hAnsi="Calibri" w:cs="ArialNarrow"/>
        </w:rPr>
        <w:t>de</w:t>
      </w:r>
      <w:r w:rsidR="001121A0">
        <w:rPr>
          <w:rFonts w:ascii="Calibri" w:hAnsi="Calibri" w:cs="ArialNarrow"/>
        </w:rPr>
        <w:t>creased over</w:t>
      </w:r>
      <w:r w:rsidR="002622EC">
        <w:rPr>
          <w:rFonts w:ascii="Calibri" w:hAnsi="Calibri" w:cs="ArialNarrow"/>
        </w:rPr>
        <w:t xml:space="preserve"> the </w:t>
      </w:r>
      <w:r w:rsidR="00DC3908">
        <w:rPr>
          <w:rFonts w:ascii="Calibri" w:hAnsi="Calibri" w:cs="ArialNarrow"/>
        </w:rPr>
        <w:t xml:space="preserve">same period of </w:t>
      </w:r>
      <w:r w:rsidR="0077397D">
        <w:rPr>
          <w:rFonts w:ascii="Calibri" w:hAnsi="Calibri" w:cs="ArialNarrow"/>
        </w:rPr>
        <w:t>2020/21</w:t>
      </w:r>
      <w:r w:rsidR="00A3371A">
        <w:rPr>
          <w:rFonts w:ascii="Calibri" w:hAnsi="Calibri" w:cs="ArialNarrow"/>
        </w:rPr>
        <w:t xml:space="preserve"> </w:t>
      </w:r>
      <w:r w:rsidR="0077397D">
        <w:rPr>
          <w:rFonts w:ascii="Calibri" w:hAnsi="Calibri" w:cs="ArialNarrow"/>
        </w:rPr>
        <w:t>(9</w:t>
      </w:r>
      <w:r w:rsidR="00C441E0">
        <w:rPr>
          <w:rFonts w:ascii="Calibri" w:hAnsi="Calibri" w:cs="ArialNarrow"/>
        </w:rPr>
        <w:t>1.71</w:t>
      </w:r>
      <w:r w:rsidR="001121A0">
        <w:rPr>
          <w:rFonts w:ascii="Calibri" w:hAnsi="Calibri" w:cs="ArialNarrow"/>
        </w:rPr>
        <w:t>%).</w:t>
      </w:r>
      <w:r w:rsidR="009848F5">
        <w:rPr>
          <w:rFonts w:ascii="Calibri" w:hAnsi="Calibri" w:cs="ArialNarrow"/>
        </w:rPr>
        <w:t xml:space="preserve">  </w:t>
      </w:r>
      <w:r w:rsidR="00C441E0">
        <w:rPr>
          <w:rFonts w:ascii="Calibri" w:hAnsi="Calibri" w:cs="ArialNarrow"/>
        </w:rPr>
        <w:t xml:space="preserve">This is related to vacancies on hold due to a </w:t>
      </w:r>
      <w:proofErr w:type="spellStart"/>
      <w:r w:rsidR="00C441E0">
        <w:rPr>
          <w:rFonts w:ascii="Calibri" w:hAnsi="Calibri" w:cs="ArialNarrow"/>
        </w:rPr>
        <w:t>covid</w:t>
      </w:r>
      <w:proofErr w:type="spellEnd"/>
      <w:r w:rsidR="00C441E0">
        <w:rPr>
          <w:rFonts w:ascii="Calibri" w:hAnsi="Calibri" w:cs="ArialNarrow"/>
        </w:rPr>
        <w:t xml:space="preserve"> outbreak but also beds held with support of DSLTC &amp; Continuing care for the Resident Room renovation project. </w:t>
      </w:r>
      <w:r w:rsidR="00ED6671">
        <w:rPr>
          <w:rFonts w:ascii="Calibri" w:hAnsi="Calibri" w:cs="ArialNarrow"/>
        </w:rPr>
        <w:t xml:space="preserve"> </w:t>
      </w:r>
    </w:p>
    <w:p w:rsidR="000501E8" w:rsidRDefault="000501E8" w:rsidP="00CF4AE4">
      <w:pPr>
        <w:rPr>
          <w:rFonts w:ascii="Calibri" w:hAnsi="Calibri" w:cs="ArialNarrow"/>
        </w:rPr>
      </w:pPr>
    </w:p>
    <w:p w:rsidR="00F048BA" w:rsidRDefault="00F048BA" w:rsidP="00CF4AE4">
      <w:pPr>
        <w:rPr>
          <w:rFonts w:ascii="Calibri" w:hAnsi="Calibri" w:cs="ArialNarrow"/>
        </w:rPr>
      </w:pPr>
      <w:r>
        <w:rPr>
          <w:rFonts w:ascii="Calibri" w:hAnsi="Calibri" w:cs="ArialNarrow"/>
        </w:rPr>
        <w:t>The occupancy rate for the respite bed</w:t>
      </w:r>
      <w:r w:rsidR="009C5733">
        <w:rPr>
          <w:rFonts w:ascii="Calibri" w:hAnsi="Calibri" w:cs="ArialNarrow"/>
        </w:rPr>
        <w:t xml:space="preserve"> </w:t>
      </w:r>
      <w:r w:rsidR="003653F0">
        <w:rPr>
          <w:rFonts w:ascii="Calibri" w:hAnsi="Calibri" w:cs="ArialNarrow"/>
        </w:rPr>
        <w:t>is increasing as shown in T</w:t>
      </w:r>
      <w:r>
        <w:rPr>
          <w:rFonts w:ascii="Calibri" w:hAnsi="Calibri" w:cs="ArialNarrow"/>
        </w:rPr>
        <w:t>able 1.</w:t>
      </w:r>
      <w:r w:rsidR="00D94606">
        <w:rPr>
          <w:rFonts w:ascii="Calibri" w:hAnsi="Calibri" w:cs="ArialNarrow"/>
        </w:rPr>
        <w:t xml:space="preserve"> </w:t>
      </w:r>
    </w:p>
    <w:p w:rsidR="00C441E0" w:rsidRDefault="00C441E0" w:rsidP="00CF4AE4">
      <w:pPr>
        <w:rPr>
          <w:rFonts w:ascii="Calibri" w:hAnsi="Calibri" w:cs="ArialNarrow"/>
        </w:rPr>
      </w:pPr>
    </w:p>
    <w:p w:rsidR="00F048BA" w:rsidRPr="007A7E7D" w:rsidRDefault="007A7E7D" w:rsidP="008B5A9E">
      <w:pPr>
        <w:rPr>
          <w:rFonts w:ascii="Calibri" w:hAnsi="Calibri" w:cs="ArialNarrow"/>
          <w:b/>
        </w:rPr>
      </w:pP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 xml:space="preserve">Table 1 </w:t>
      </w:r>
      <w:r w:rsidR="008B5A9E">
        <w:rPr>
          <w:rFonts w:ascii="Calibri" w:hAnsi="Calibri" w:cs="ArialNarrow"/>
          <w:b/>
        </w:rPr>
        <w:t xml:space="preserve"> </w:t>
      </w:r>
      <w:r>
        <w:rPr>
          <w:rFonts w:ascii="Calibri" w:hAnsi="Calibri" w:cs="ArialNarrow"/>
          <w:b/>
        </w:rPr>
        <w:t xml:space="preserve">       </w:t>
      </w:r>
      <w:r w:rsidR="00F048BA" w:rsidRPr="007A7E7D">
        <w:rPr>
          <w:rFonts w:ascii="Calibri" w:hAnsi="Calibri" w:cs="ArialNarrow"/>
          <w:b/>
        </w:rPr>
        <w:t>Respite Bed Occupancy</w:t>
      </w:r>
    </w:p>
    <w:tbl>
      <w:tblPr>
        <w:tblStyle w:val="TableGrid"/>
        <w:tblpPr w:leftFromText="180" w:rightFromText="180" w:vertAnchor="text" w:horzAnchor="page" w:tblpX="1152" w:tblpY="83"/>
        <w:tblW w:w="9659" w:type="dxa"/>
        <w:tblLook w:val="04A0" w:firstRow="1" w:lastRow="0" w:firstColumn="1" w:lastColumn="0" w:noHBand="0" w:noVBand="1"/>
      </w:tblPr>
      <w:tblGrid>
        <w:gridCol w:w="1203"/>
        <w:gridCol w:w="1208"/>
        <w:gridCol w:w="1208"/>
        <w:gridCol w:w="1208"/>
        <w:gridCol w:w="1208"/>
        <w:gridCol w:w="1208"/>
        <w:gridCol w:w="1208"/>
        <w:gridCol w:w="1208"/>
      </w:tblGrid>
      <w:tr w:rsidR="006537D7" w:rsidTr="006537D7">
        <w:trPr>
          <w:trHeight w:val="282"/>
        </w:trPr>
        <w:tc>
          <w:tcPr>
            <w:tcW w:w="1203" w:type="dxa"/>
          </w:tcPr>
          <w:p w:rsidR="003653F0" w:rsidRPr="007A7E7D" w:rsidRDefault="003653F0" w:rsidP="003653F0">
            <w:pPr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Month</w:t>
            </w:r>
          </w:p>
        </w:tc>
        <w:tc>
          <w:tcPr>
            <w:tcW w:w="120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2015/16</w:t>
            </w:r>
          </w:p>
        </w:tc>
        <w:tc>
          <w:tcPr>
            <w:tcW w:w="112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2016/17</w:t>
            </w:r>
          </w:p>
        </w:tc>
        <w:tc>
          <w:tcPr>
            <w:tcW w:w="128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 w:rsidRPr="007A7E7D">
              <w:rPr>
                <w:rFonts w:ascii="Calibri" w:hAnsi="Calibri" w:cs="ArialNarrow"/>
                <w:b/>
              </w:rPr>
              <w:t>Occupancy</w:t>
            </w:r>
            <w:r>
              <w:rPr>
                <w:rFonts w:ascii="Calibri" w:hAnsi="Calibri" w:cs="ArialNarrow"/>
                <w:b/>
              </w:rPr>
              <w:t xml:space="preserve"> 2017/18</w:t>
            </w:r>
          </w:p>
        </w:tc>
        <w:tc>
          <w:tcPr>
            <w:tcW w:w="1208" w:type="dxa"/>
          </w:tcPr>
          <w:p w:rsidR="003653F0" w:rsidRPr="007A7E7D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 2018/19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 xml:space="preserve">Occupancy  </w:t>
            </w:r>
          </w:p>
          <w:p w:rsidR="003653F0" w:rsidRDefault="00D865FD" w:rsidP="00B02B1F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</w:t>
            </w:r>
            <w:r w:rsidR="00B02B1F">
              <w:rPr>
                <w:rFonts w:ascii="Calibri" w:hAnsi="Calibri" w:cs="ArialNarrow"/>
                <w:b/>
              </w:rPr>
              <w:t>19</w:t>
            </w:r>
            <w:r>
              <w:rPr>
                <w:rFonts w:ascii="Calibri" w:hAnsi="Calibri" w:cs="ArialNarrow"/>
                <w:b/>
              </w:rPr>
              <w:t>/2</w:t>
            </w:r>
            <w:r w:rsidR="00B02B1F">
              <w:rPr>
                <w:rFonts w:ascii="Calibri" w:hAnsi="Calibri" w:cs="ArialNarrow"/>
                <w:b/>
              </w:rPr>
              <w:t>0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2020-21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Occupancy</w:t>
            </w:r>
          </w:p>
          <w:p w:rsidR="003653F0" w:rsidRDefault="003653F0" w:rsidP="003653F0">
            <w:pPr>
              <w:jc w:val="center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2021-22</w:t>
            </w:r>
          </w:p>
        </w:tc>
      </w:tr>
      <w:tr w:rsidR="006537D7" w:rsidTr="006537D7">
        <w:trPr>
          <w:trHeight w:val="287"/>
        </w:trPr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April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60.0%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43.3%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 w:rsidRPr="006F2C1A">
              <w:t>70.0%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  <w:lang w:val="en-CA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13.3%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48.4%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41.9%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12.9%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 w:rsidRPr="006F2C1A">
              <w:t>35.5%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June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23.3%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36.7%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</w:pPr>
            <w:r w:rsidRPr="006F2C1A">
              <w:t>80.0%</w:t>
            </w:r>
          </w:p>
        </w:tc>
        <w:tc>
          <w:tcPr>
            <w:tcW w:w="1208" w:type="dxa"/>
          </w:tcPr>
          <w:p w:rsidR="003653F0" w:rsidRPr="006F2C1A" w:rsidRDefault="003653F0" w:rsidP="003653F0">
            <w:pPr>
              <w:jc w:val="right"/>
            </w:pPr>
            <w: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July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96.8%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61.3%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64.5%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29.0%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August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96.8%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87.1%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51.6%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74.2%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September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20.0%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33.3%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93.3%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73.3%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66.7%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October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51.6%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41.9%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November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33.3%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40.0%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33.3%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77397D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</w:t>
            </w:r>
            <w:r w:rsidR="003653F0">
              <w:rPr>
                <w:rFonts w:ascii="Calibri" w:hAnsi="Calibri" w:cs="Calibri"/>
                <w:color w:val="000000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Cs w:val="22"/>
              </w:rPr>
              <w:t>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December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25.8%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38.7%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61.3%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71.0%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77397D" w:rsidP="0077397D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32.3%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 xml:space="preserve">January 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16.1%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</w:rPr>
              <w:t>35.5%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0.0%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C441E0" w:rsidP="00C441E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61.3%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February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31.0%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57.1%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25.0%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82.1%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537D7" w:rsidTr="006537D7">
        <w:tc>
          <w:tcPr>
            <w:tcW w:w="1203" w:type="dxa"/>
          </w:tcPr>
          <w:p w:rsidR="003653F0" w:rsidRDefault="003653F0" w:rsidP="003653F0">
            <w:pPr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March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</w:rPr>
            </w:pPr>
            <w:r>
              <w:rPr>
                <w:rFonts w:ascii="Calibri" w:hAnsi="Calibri" w:cs="ArialNarrow"/>
              </w:rPr>
              <w:t>25.8%</w:t>
            </w:r>
          </w:p>
        </w:tc>
        <w:tc>
          <w:tcPr>
            <w:tcW w:w="112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48.4%</w:t>
            </w:r>
          </w:p>
        </w:tc>
        <w:tc>
          <w:tcPr>
            <w:tcW w:w="128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Pr="00201B32" w:rsidRDefault="003653F0" w:rsidP="003653F0">
            <w:pPr>
              <w:jc w:val="right"/>
            </w:pPr>
            <w:r w:rsidRPr="00201B32">
              <w:t>19.4%</w:t>
            </w:r>
          </w:p>
        </w:tc>
        <w:tc>
          <w:tcPr>
            <w:tcW w:w="1208" w:type="dxa"/>
            <w:vAlign w:val="bottom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08" w:type="dxa"/>
            <w:vAlign w:val="bottom"/>
          </w:tcPr>
          <w:p w:rsidR="003653F0" w:rsidRDefault="00C441E0" w:rsidP="003653F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22.6%</w:t>
            </w:r>
          </w:p>
        </w:tc>
      </w:tr>
      <w:tr w:rsidR="003653F0" w:rsidTr="006537D7">
        <w:tc>
          <w:tcPr>
            <w:tcW w:w="1203" w:type="dxa"/>
          </w:tcPr>
          <w:p w:rsidR="003653F0" w:rsidRPr="00575ED1" w:rsidRDefault="003653F0" w:rsidP="003653F0">
            <w:pPr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 xml:space="preserve">Total </w:t>
            </w:r>
          </w:p>
        </w:tc>
        <w:tc>
          <w:tcPr>
            <w:tcW w:w="120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 w:rsidRPr="00575ED1">
              <w:rPr>
                <w:rFonts w:ascii="Calibri" w:hAnsi="Calibri" w:cs="ArialNarrow"/>
                <w:b/>
              </w:rPr>
              <w:t>39.1%</w:t>
            </w:r>
          </w:p>
        </w:tc>
        <w:tc>
          <w:tcPr>
            <w:tcW w:w="112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48%</w:t>
            </w:r>
          </w:p>
        </w:tc>
        <w:tc>
          <w:tcPr>
            <w:tcW w:w="1288" w:type="dxa"/>
          </w:tcPr>
          <w:p w:rsidR="003653F0" w:rsidRPr="00575ED1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62.3%</w:t>
            </w:r>
          </w:p>
        </w:tc>
        <w:tc>
          <w:tcPr>
            <w:tcW w:w="1208" w:type="dxa"/>
          </w:tcPr>
          <w:p w:rsidR="003653F0" w:rsidRPr="0087268C" w:rsidRDefault="003653F0" w:rsidP="003653F0">
            <w:pPr>
              <w:jc w:val="right"/>
              <w:rPr>
                <w:b/>
              </w:rPr>
            </w:pPr>
            <w:r w:rsidRPr="0087268C">
              <w:rPr>
                <w:b/>
              </w:rPr>
              <w:t>38.6%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47.4%</w:t>
            </w:r>
          </w:p>
        </w:tc>
        <w:tc>
          <w:tcPr>
            <w:tcW w:w="1208" w:type="dxa"/>
          </w:tcPr>
          <w:p w:rsidR="003653F0" w:rsidRDefault="003653F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2</w:t>
            </w:r>
            <w:r w:rsidR="00520FF0">
              <w:rPr>
                <w:rFonts w:ascii="Calibri" w:hAnsi="Calibri" w:cs="ArialNarrow"/>
                <w:b/>
              </w:rPr>
              <w:t>.1</w:t>
            </w:r>
            <w:r>
              <w:rPr>
                <w:rFonts w:ascii="Calibri" w:hAnsi="Calibri" w:cs="ArialNarrow"/>
                <w:b/>
              </w:rPr>
              <w:t>%</w:t>
            </w:r>
          </w:p>
        </w:tc>
        <w:tc>
          <w:tcPr>
            <w:tcW w:w="1208" w:type="dxa"/>
          </w:tcPr>
          <w:p w:rsidR="003653F0" w:rsidRDefault="00C441E0" w:rsidP="003653F0">
            <w:pPr>
              <w:jc w:val="right"/>
              <w:rPr>
                <w:rFonts w:ascii="Calibri" w:hAnsi="Calibri" w:cs="ArialNarrow"/>
                <w:b/>
              </w:rPr>
            </w:pPr>
            <w:r>
              <w:rPr>
                <w:rFonts w:ascii="Calibri" w:hAnsi="Calibri" w:cs="ArialNarrow"/>
                <w:b/>
              </w:rPr>
              <w:t>37.8%</w:t>
            </w:r>
          </w:p>
        </w:tc>
      </w:tr>
    </w:tbl>
    <w:p w:rsidR="007C02F8" w:rsidRPr="00E539DC" w:rsidRDefault="007C02F8" w:rsidP="007C02F8">
      <w:pPr>
        <w:spacing w:after="200" w:line="276" w:lineRule="auto"/>
        <w:rPr>
          <w:rFonts w:cstheme="minorBidi"/>
          <w:b/>
          <w:sz w:val="24"/>
          <w:szCs w:val="22"/>
        </w:rPr>
      </w:pPr>
      <w:r>
        <w:rPr>
          <w:rFonts w:ascii="Calibri" w:hAnsi="Calibri" w:cs="ArialNarrow"/>
        </w:rPr>
        <w:br w:type="page"/>
      </w:r>
      <w:r w:rsidR="000D12E5" w:rsidRPr="00027301">
        <w:rPr>
          <w:rFonts w:ascii="Calibri" w:hAnsi="Calibri" w:cs="ArialNarrow"/>
          <w:b/>
          <w:sz w:val="24"/>
        </w:rPr>
        <w:lastRenderedPageBreak/>
        <w:t>2</w:t>
      </w:r>
      <w:r w:rsidRPr="00027301">
        <w:rPr>
          <w:rFonts w:cstheme="minorBidi"/>
          <w:b/>
          <w:sz w:val="24"/>
        </w:rPr>
        <w:t>.0</w:t>
      </w:r>
      <w:r>
        <w:rPr>
          <w:rFonts w:cstheme="minorBidi"/>
          <w:b/>
          <w:sz w:val="24"/>
          <w:szCs w:val="22"/>
        </w:rPr>
        <w:tab/>
        <w:t>Shoreham Village</w:t>
      </w:r>
      <w:r w:rsidRPr="00E539DC">
        <w:rPr>
          <w:rFonts w:cstheme="minorBidi"/>
          <w:b/>
          <w:sz w:val="24"/>
          <w:szCs w:val="22"/>
        </w:rPr>
        <w:t xml:space="preserve"> - Resident</w:t>
      </w:r>
      <w:r w:rsidRPr="00E539DC">
        <w:rPr>
          <w:rFonts w:cstheme="minorBidi"/>
          <w:b/>
          <w:bCs/>
          <w:i/>
          <w:iCs/>
          <w:sz w:val="24"/>
          <w:szCs w:val="22"/>
        </w:rPr>
        <w:t xml:space="preserve"> </w:t>
      </w:r>
      <w:r w:rsidRPr="00E539DC">
        <w:rPr>
          <w:rFonts w:cstheme="minorBidi"/>
          <w:b/>
          <w:sz w:val="24"/>
          <w:szCs w:val="22"/>
        </w:rPr>
        <w:t xml:space="preserve">Incidents – </w:t>
      </w:r>
      <w:r w:rsidR="0087268C">
        <w:rPr>
          <w:b/>
        </w:rPr>
        <w:t>Q</w:t>
      </w:r>
      <w:r w:rsidR="00336B28">
        <w:rPr>
          <w:b/>
        </w:rPr>
        <w:t>4</w:t>
      </w:r>
      <w:r w:rsidR="0087268C">
        <w:rPr>
          <w:b/>
        </w:rPr>
        <w:t xml:space="preserve"> </w:t>
      </w:r>
      <w:r w:rsidR="00336B28">
        <w:rPr>
          <w:b/>
        </w:rPr>
        <w:t>Jan</w:t>
      </w:r>
      <w:r w:rsidR="00F92E60">
        <w:rPr>
          <w:b/>
        </w:rPr>
        <w:t xml:space="preserve"> </w:t>
      </w:r>
      <w:r w:rsidR="0087268C">
        <w:rPr>
          <w:b/>
        </w:rPr>
        <w:t xml:space="preserve">- </w:t>
      </w:r>
      <w:r w:rsidR="00336B28">
        <w:rPr>
          <w:b/>
        </w:rPr>
        <w:t>March</w:t>
      </w:r>
      <w:r w:rsidR="00755211">
        <w:rPr>
          <w:b/>
        </w:rPr>
        <w:t xml:space="preserve"> 202</w:t>
      </w:r>
      <w:r w:rsidR="00D865FD">
        <w:rPr>
          <w:b/>
        </w:rPr>
        <w:t>1</w:t>
      </w:r>
      <w:r w:rsidR="0087268C">
        <w:rPr>
          <w:b/>
        </w:rPr>
        <w:t>/2</w:t>
      </w:r>
      <w:r w:rsidR="00D865FD">
        <w:rPr>
          <w:b/>
        </w:rPr>
        <w:t>2</w:t>
      </w: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4271"/>
        <w:gridCol w:w="1135"/>
        <w:gridCol w:w="1187"/>
        <w:gridCol w:w="1159"/>
        <w:gridCol w:w="1080"/>
        <w:gridCol w:w="1243"/>
      </w:tblGrid>
      <w:tr w:rsidR="002A3CF7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F7" w:rsidRPr="00F05E23" w:rsidRDefault="002A3CF7" w:rsidP="002A3CF7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 # of Incidents Per Quarter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336B2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  <w:p w:rsidR="002A3CF7" w:rsidRPr="008E070D" w:rsidRDefault="00D865FD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  <w:r w:rsidR="00B02B1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/2</w:t>
            </w:r>
            <w:r w:rsidR="00B02B1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2A3CF7" w:rsidRPr="008E070D" w:rsidRDefault="00D865FD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2A3CF7" w:rsidRPr="008E070D" w:rsidRDefault="00D865FD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2A3CF7" w:rsidRPr="008E070D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2A3CF7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8F0B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8F0B5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83C00" w:rsidP="00B83C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83C0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B02B1F" w:rsidRPr="00716729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Pr="00716729" w:rsidRDefault="00D40080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83C0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ind w:left="-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83C0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B02B1F" w:rsidRPr="00716729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F10737" w:rsidP="008F0B5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  <w:r w:rsidR="008F0B59"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683C5C" w:rsidP="00B02B1F">
            <w:pPr>
              <w:ind w:left="-3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83C00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146</w:t>
            </w:r>
          </w:p>
        </w:tc>
      </w:tr>
      <w:tr w:rsidR="00B02B1F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B02B1F" w:rsidRPr="00F05E23" w:rsidRDefault="00B02B1F" w:rsidP="00B02B1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02B1F" w:rsidRPr="008E070D" w:rsidRDefault="00B02B1F" w:rsidP="00B02B1F">
            <w:pPr>
              <w:ind w:left="-3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B1F" w:rsidRDefault="00B02B1F" w:rsidP="00B02B1F">
            <w:pPr>
              <w:ind w:left="-9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2B1F" w:rsidRPr="00F05E23" w:rsidTr="002C178F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F" w:rsidRPr="00F05E23" w:rsidRDefault="00B02B1F" w:rsidP="00B02B1F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  <w:szCs w:val="22"/>
              </w:rPr>
              <w:t>Per 1000 Resident Days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1F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336B2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B02B1F" w:rsidRPr="008E070D" w:rsidRDefault="00B02B1F" w:rsidP="00B02B1F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B02B1F" w:rsidRPr="008E070D" w:rsidRDefault="00B02B1F" w:rsidP="00B02B1F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B02B1F" w:rsidRPr="008E070D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B02B1F" w:rsidRDefault="00B02B1F" w:rsidP="00B02B1F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Responsive Behaviors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8F0B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8F0B59">
              <w:rPr>
                <w:rFonts w:ascii="Calibri" w:hAnsi="Calibri"/>
                <w:color w:val="00000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83C0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5.07</w:t>
            </w: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B1F" w:rsidRPr="0056156C" w:rsidRDefault="00B02B1F" w:rsidP="00B02B1F">
            <w:pPr>
              <w:spacing w:line="276" w:lineRule="auto"/>
              <w:rPr>
                <w:rFonts w:ascii="Calibri" w:hAnsi="Calibri"/>
                <w:color w:val="000000"/>
                <w:sz w:val="4"/>
                <w:szCs w:val="4"/>
              </w:rPr>
            </w:pPr>
          </w:p>
          <w:p w:rsidR="00B02B1F" w:rsidRPr="00F05E23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Falls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6.62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83C00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6.44</w:t>
            </w: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56156C" w:rsidRDefault="00B02B1F" w:rsidP="00B02B1F">
            <w:pPr>
              <w:spacing w:line="276" w:lineRule="auto"/>
              <w:rPr>
                <w:rFonts w:ascii="Calibri" w:hAnsi="Calibri"/>
                <w:color w:val="000000"/>
                <w:sz w:val="8"/>
                <w:szCs w:val="8"/>
              </w:rPr>
            </w:pPr>
            <w:r w:rsidRPr="00F05E23">
              <w:rPr>
                <w:rFonts w:ascii="Calibri" w:hAnsi="Calibri"/>
                <w:color w:val="000000"/>
                <w:szCs w:val="22"/>
              </w:rPr>
              <w:t>Medication Errors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8704F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83C00" w:rsidP="00B02B1F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2.87</w:t>
            </w:r>
          </w:p>
        </w:tc>
      </w:tr>
      <w:tr w:rsidR="00B02B1F" w:rsidRPr="00F05E23" w:rsidTr="002A3CF7">
        <w:trPr>
          <w:trHeight w:val="7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540195" w:rsidRDefault="00B02B1F" w:rsidP="00B02B1F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540195">
              <w:rPr>
                <w:rFonts w:ascii="Calibri" w:hAnsi="Calibri"/>
                <w:color w:val="000000"/>
                <w:szCs w:val="22"/>
              </w:rPr>
              <w:t>Other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AA42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D058F2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83C00" w:rsidP="00B02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5.62</w:t>
            </w:r>
          </w:p>
        </w:tc>
      </w:tr>
      <w:tr w:rsidR="00B02B1F" w:rsidRPr="00F05E23" w:rsidTr="002A3CF7">
        <w:trPr>
          <w:trHeight w:val="288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1F" w:rsidRPr="00F05E23" w:rsidRDefault="00B02B1F" w:rsidP="00B02B1F">
            <w:pPr>
              <w:spacing w:line="276" w:lineRule="auto"/>
              <w:ind w:right="-18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2B1F" w:rsidRPr="00716729" w:rsidRDefault="00A34068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15.37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AA42CC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15.61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58F2" w:rsidRPr="00716729" w:rsidRDefault="00D058F2" w:rsidP="008F0B5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  <w:r w:rsidR="008F0B59">
              <w:rPr>
                <w:rFonts w:ascii="Calibri" w:hAnsi="Calibri"/>
                <w:b/>
                <w:bCs/>
                <w:color w:val="000000"/>
              </w:rPr>
              <w:t>8.72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336A1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B1F" w:rsidRPr="00716729" w:rsidRDefault="00B83C00" w:rsidP="00B02B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20.00</w:t>
            </w:r>
          </w:p>
        </w:tc>
      </w:tr>
    </w:tbl>
    <w:p w:rsidR="007C02F8" w:rsidRDefault="007C02F8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CF1910" w:rsidRDefault="00CF1910" w:rsidP="007C02F8">
      <w:pPr>
        <w:spacing w:line="276" w:lineRule="auto"/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38381D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335395" cy="3827417"/>
            <wp:effectExtent l="0" t="0" r="8255" b="19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</w:p>
    <w:p w:rsidR="007C02F8" w:rsidRDefault="007C02F8" w:rsidP="007C02F8">
      <w:pPr>
        <w:rPr>
          <w:rFonts w:ascii="Calibri" w:hAnsi="Calibri" w:cs="ArialNarrow"/>
          <w:b/>
          <w:sz w:val="24"/>
        </w:rPr>
      </w:pPr>
      <w:r w:rsidRPr="006A52C1">
        <w:rPr>
          <w:rFonts w:ascii="Calibri" w:hAnsi="Calibri" w:cs="ArialNarrow"/>
          <w:b/>
          <w:noProof/>
          <w:sz w:val="24"/>
          <w:bdr w:val="single" w:sz="8" w:space="0" w:color="auto"/>
          <w:lang w:val="en-CA" w:eastAsia="en-CA"/>
        </w:rPr>
        <w:drawing>
          <wp:inline distT="0" distB="0" distL="0" distR="0">
            <wp:extent cx="6126480" cy="3688080"/>
            <wp:effectExtent l="0" t="0" r="7620" b="762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331B" w:rsidRDefault="0082331B" w:rsidP="007C02F8">
      <w:pPr>
        <w:rPr>
          <w:rFonts w:ascii="Calibri" w:hAnsi="Calibri" w:cs="ArialNarrow"/>
          <w:b/>
          <w:sz w:val="24"/>
        </w:rPr>
      </w:pPr>
    </w:p>
    <w:p w:rsidR="001206C5" w:rsidRDefault="001206C5" w:rsidP="007C02F8">
      <w:pPr>
        <w:rPr>
          <w:rFonts w:ascii="Calibri" w:hAnsi="Calibri" w:cs="ArialNarrow"/>
          <w:b/>
          <w:szCs w:val="22"/>
        </w:rPr>
      </w:pPr>
    </w:p>
    <w:p w:rsidR="006033F1" w:rsidRDefault="007C02F8" w:rsidP="00511E80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Comments:</w:t>
      </w:r>
      <w:r w:rsidR="006033F1">
        <w:rPr>
          <w:rFonts w:ascii="Calibri" w:hAnsi="Calibri" w:cs="ArialNarrow"/>
          <w:b/>
          <w:szCs w:val="22"/>
        </w:rPr>
        <w:t xml:space="preserve"> </w:t>
      </w:r>
    </w:p>
    <w:p w:rsidR="00511E80" w:rsidRDefault="00511E80" w:rsidP="00511E80">
      <w:pPr>
        <w:rPr>
          <w:rFonts w:ascii="Calibri" w:hAnsi="Calibri" w:cs="ArialNarrow"/>
          <w:b/>
          <w:sz w:val="16"/>
          <w:szCs w:val="16"/>
        </w:rPr>
      </w:pPr>
    </w:p>
    <w:p w:rsidR="00714CCA" w:rsidRPr="00714CCA" w:rsidRDefault="00714CCA" w:rsidP="00714CCA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2021-2022 saw us through a second </w:t>
      </w:r>
      <w:r w:rsidRPr="00714CCA">
        <w:rPr>
          <w:rFonts w:ascii="Calibri" w:hAnsi="Calibri" w:cs="ArialNarrow"/>
          <w:szCs w:val="22"/>
        </w:rPr>
        <w:t xml:space="preserve">year </w:t>
      </w:r>
      <w:r>
        <w:rPr>
          <w:rFonts w:ascii="Calibri" w:hAnsi="Calibri" w:cs="ArialNarrow"/>
          <w:szCs w:val="22"/>
        </w:rPr>
        <w:t xml:space="preserve">of the pandemic. The Shoreham team continued to demonstrate </w:t>
      </w:r>
      <w:r w:rsidRPr="00714CCA">
        <w:rPr>
          <w:rFonts w:ascii="Calibri" w:hAnsi="Calibri" w:cs="ArialNarrow"/>
          <w:szCs w:val="22"/>
        </w:rPr>
        <w:t xml:space="preserve">resilience and adaptation. Shoreham supported the residents and their families through the uncertainly of changing LTC Guidelines and Public Health directives related to the </w:t>
      </w:r>
      <w:r>
        <w:rPr>
          <w:rFonts w:ascii="Calibri" w:hAnsi="Calibri" w:cs="ArialNarrow"/>
          <w:szCs w:val="22"/>
        </w:rPr>
        <w:t>evolving waves of COVID and new variants</w:t>
      </w:r>
      <w:r w:rsidRPr="00714CCA">
        <w:rPr>
          <w:rFonts w:ascii="Calibri" w:hAnsi="Calibri" w:cs="ArialNarrow"/>
          <w:szCs w:val="22"/>
        </w:rPr>
        <w:t xml:space="preserve">. Shoreham implemented required protocols to keep staff and residents safe while continuing to </w:t>
      </w:r>
      <w:r w:rsidR="00957E64">
        <w:rPr>
          <w:rFonts w:ascii="Calibri" w:hAnsi="Calibri" w:cs="ArialNarrow"/>
          <w:szCs w:val="22"/>
        </w:rPr>
        <w:t xml:space="preserve">support required renovations and </w:t>
      </w:r>
      <w:r w:rsidRPr="00714CCA">
        <w:rPr>
          <w:rFonts w:ascii="Calibri" w:hAnsi="Calibri" w:cs="ArialNarrow"/>
          <w:szCs w:val="22"/>
        </w:rPr>
        <w:t>provide a high standard of quality care</w:t>
      </w:r>
      <w:r w:rsidR="00957E64">
        <w:rPr>
          <w:rFonts w:ascii="Calibri" w:hAnsi="Calibri" w:cs="ArialNarrow"/>
          <w:szCs w:val="22"/>
        </w:rPr>
        <w:t>.</w:t>
      </w:r>
      <w:r w:rsidRPr="00714CCA">
        <w:rPr>
          <w:rFonts w:ascii="Calibri" w:hAnsi="Calibri" w:cs="ArialNarrow"/>
          <w:szCs w:val="22"/>
        </w:rPr>
        <w:t xml:space="preserve"> </w:t>
      </w:r>
    </w:p>
    <w:p w:rsidR="00714CCA" w:rsidRPr="00714CCA" w:rsidRDefault="00714CCA" w:rsidP="00714CCA">
      <w:pPr>
        <w:rPr>
          <w:rFonts w:ascii="Calibri" w:hAnsi="Calibri" w:cs="ArialNarrow"/>
          <w:szCs w:val="22"/>
        </w:rPr>
      </w:pPr>
    </w:p>
    <w:p w:rsidR="00714CCA" w:rsidRPr="00714CCA" w:rsidRDefault="00714CCA" w:rsidP="00714CCA">
      <w:pPr>
        <w:rPr>
          <w:rFonts w:ascii="Calibri" w:hAnsi="Calibri" w:cs="ArialNarrow"/>
          <w:szCs w:val="22"/>
        </w:rPr>
      </w:pPr>
      <w:r w:rsidRPr="00714CCA">
        <w:rPr>
          <w:rFonts w:ascii="Calibri" w:hAnsi="Calibri" w:cs="ArialNarrow"/>
          <w:szCs w:val="22"/>
        </w:rPr>
        <w:t xml:space="preserve">Overall our annual </w:t>
      </w:r>
      <w:r>
        <w:rPr>
          <w:rFonts w:ascii="Calibri" w:hAnsi="Calibri" w:cs="ArialNarrow"/>
          <w:szCs w:val="22"/>
        </w:rPr>
        <w:t xml:space="preserve">rate of incidents increased this past year but continues to demonstrate </w:t>
      </w:r>
      <w:r w:rsidRPr="00714CCA">
        <w:rPr>
          <w:rFonts w:ascii="Calibri" w:hAnsi="Calibri" w:cs="ArialNarrow"/>
          <w:szCs w:val="22"/>
        </w:rPr>
        <w:t xml:space="preserve">improvement over past years. </w:t>
      </w:r>
      <w:r>
        <w:rPr>
          <w:rFonts w:ascii="Calibri" w:hAnsi="Calibri" w:cs="ArialNarrow"/>
          <w:szCs w:val="22"/>
        </w:rPr>
        <w:t xml:space="preserve">There were 565 incidents in 2021-22 compared to 515 incidents in </w:t>
      </w:r>
      <w:r w:rsidRPr="00714CCA">
        <w:rPr>
          <w:rFonts w:ascii="Calibri" w:hAnsi="Calibri" w:cs="ArialNarrow"/>
          <w:szCs w:val="22"/>
        </w:rPr>
        <w:t>2020/21</w:t>
      </w:r>
      <w:r>
        <w:rPr>
          <w:rFonts w:ascii="Calibri" w:hAnsi="Calibri" w:cs="ArialNarrow"/>
          <w:szCs w:val="22"/>
        </w:rPr>
        <w:t xml:space="preserve">, </w:t>
      </w:r>
      <w:r w:rsidRPr="00714CCA">
        <w:rPr>
          <w:rFonts w:ascii="Calibri" w:hAnsi="Calibri" w:cs="ArialNarrow"/>
          <w:szCs w:val="22"/>
        </w:rPr>
        <w:t>570 incidents in 2019/20 and 721 in 2018/19.</w:t>
      </w:r>
    </w:p>
    <w:p w:rsidR="00714CCA" w:rsidRDefault="00714CCA" w:rsidP="00511E80">
      <w:pPr>
        <w:rPr>
          <w:rFonts w:ascii="Calibri" w:hAnsi="Calibri" w:cs="ArialNarrow"/>
          <w:b/>
          <w:sz w:val="16"/>
          <w:szCs w:val="16"/>
        </w:rPr>
      </w:pPr>
    </w:p>
    <w:p w:rsidR="00714CCA" w:rsidRPr="002958B0" w:rsidRDefault="00714CCA" w:rsidP="00511E80">
      <w:pPr>
        <w:rPr>
          <w:rFonts w:ascii="Calibri" w:hAnsi="Calibri" w:cs="ArialNarrow"/>
          <w:b/>
          <w:sz w:val="16"/>
          <w:szCs w:val="16"/>
        </w:rPr>
      </w:pPr>
    </w:p>
    <w:p w:rsidR="007C02F8" w:rsidRDefault="007C02F8" w:rsidP="007C02F8">
      <w:pPr>
        <w:rPr>
          <w:rFonts w:ascii="Calibri" w:hAnsi="Calibri" w:cs="ArialNarrow"/>
          <w:szCs w:val="22"/>
        </w:rPr>
      </w:pPr>
      <w:r w:rsidRPr="009400B4">
        <w:rPr>
          <w:rFonts w:ascii="Calibri" w:hAnsi="Calibri" w:cs="ArialNarrow"/>
          <w:szCs w:val="22"/>
        </w:rPr>
        <w:lastRenderedPageBreak/>
        <w:t xml:space="preserve">The number and rate of incidents have </w:t>
      </w:r>
      <w:r w:rsidR="00B83C00">
        <w:rPr>
          <w:rFonts w:ascii="Calibri" w:hAnsi="Calibri" w:cs="ArialNarrow"/>
          <w:szCs w:val="22"/>
        </w:rPr>
        <w:t>de</w:t>
      </w:r>
      <w:r w:rsidR="008E6C0F">
        <w:rPr>
          <w:rFonts w:ascii="Calibri" w:hAnsi="Calibri" w:cs="ArialNarrow"/>
          <w:szCs w:val="22"/>
        </w:rPr>
        <w:t xml:space="preserve">creased </w:t>
      </w:r>
      <w:r w:rsidR="0094473E">
        <w:rPr>
          <w:rFonts w:ascii="Calibri" w:hAnsi="Calibri" w:cs="ArialNarrow"/>
          <w:szCs w:val="22"/>
        </w:rPr>
        <w:t xml:space="preserve">over the last quarter </w:t>
      </w:r>
      <w:r w:rsidR="00BA5693">
        <w:rPr>
          <w:rFonts w:ascii="Calibri" w:hAnsi="Calibri" w:cs="ArialNarrow"/>
          <w:szCs w:val="22"/>
        </w:rPr>
        <w:t>(1</w:t>
      </w:r>
      <w:r w:rsidR="00B83C00">
        <w:rPr>
          <w:rFonts w:ascii="Calibri" w:hAnsi="Calibri" w:cs="ArialNarrow"/>
          <w:szCs w:val="22"/>
        </w:rPr>
        <w:t>56</w:t>
      </w:r>
      <w:r w:rsidR="00511E80">
        <w:rPr>
          <w:rFonts w:ascii="Calibri" w:hAnsi="Calibri" w:cs="ArialNarrow"/>
          <w:szCs w:val="22"/>
        </w:rPr>
        <w:t xml:space="preserve">) </w:t>
      </w:r>
      <w:r w:rsidR="008E11E7">
        <w:rPr>
          <w:rFonts w:ascii="Calibri" w:hAnsi="Calibri" w:cs="ArialNarrow"/>
          <w:szCs w:val="22"/>
        </w:rPr>
        <w:t>and</w:t>
      </w:r>
      <w:r w:rsidR="0094473E">
        <w:rPr>
          <w:rFonts w:ascii="Calibri" w:hAnsi="Calibri" w:cs="ArialNarrow"/>
          <w:szCs w:val="22"/>
        </w:rPr>
        <w:t xml:space="preserve"> </w:t>
      </w:r>
      <w:r w:rsidR="00B83C00">
        <w:rPr>
          <w:rFonts w:ascii="Calibri" w:hAnsi="Calibri" w:cs="ArialNarrow"/>
          <w:szCs w:val="22"/>
        </w:rPr>
        <w:t xml:space="preserve">increased </w:t>
      </w:r>
      <w:r w:rsidR="0094473E">
        <w:rPr>
          <w:rFonts w:ascii="Calibri" w:hAnsi="Calibri" w:cs="ArialNarrow"/>
          <w:szCs w:val="22"/>
        </w:rPr>
        <w:t>over the same period of last year</w:t>
      </w:r>
      <w:r w:rsidR="00B83C00">
        <w:rPr>
          <w:rFonts w:ascii="Calibri" w:hAnsi="Calibri" w:cs="ArialNarrow"/>
          <w:szCs w:val="22"/>
        </w:rPr>
        <w:t xml:space="preserve"> (113</w:t>
      </w:r>
      <w:r w:rsidR="00511E80">
        <w:rPr>
          <w:rFonts w:ascii="Calibri" w:hAnsi="Calibri" w:cs="ArialNarrow"/>
          <w:szCs w:val="22"/>
        </w:rPr>
        <w:t>)</w:t>
      </w:r>
      <w:r w:rsidR="0094473E">
        <w:rPr>
          <w:rFonts w:ascii="Calibri" w:hAnsi="Calibri" w:cs="ArialNarrow"/>
          <w:szCs w:val="22"/>
        </w:rPr>
        <w:t xml:space="preserve">.  </w:t>
      </w:r>
      <w:r w:rsidR="00006395">
        <w:rPr>
          <w:rFonts w:ascii="Calibri" w:hAnsi="Calibri" w:cs="ArialNarrow"/>
          <w:szCs w:val="22"/>
        </w:rPr>
        <w:t>Th</w:t>
      </w:r>
      <w:r w:rsidR="00A9520E">
        <w:rPr>
          <w:rFonts w:ascii="Calibri" w:hAnsi="Calibri" w:cs="ArialNarrow"/>
          <w:szCs w:val="22"/>
        </w:rPr>
        <w:t>e number of incidents per wing were</w:t>
      </w:r>
      <w:r w:rsidR="008E6C0F">
        <w:rPr>
          <w:rFonts w:ascii="Calibri" w:hAnsi="Calibri" w:cs="ArialNarrow"/>
          <w:szCs w:val="22"/>
        </w:rPr>
        <w:t xml:space="preserve">: A – </w:t>
      </w:r>
      <w:r w:rsidR="00B83C00">
        <w:rPr>
          <w:rFonts w:ascii="Calibri" w:hAnsi="Calibri" w:cs="ArialNarrow"/>
          <w:szCs w:val="22"/>
        </w:rPr>
        <w:t>11</w:t>
      </w:r>
      <w:r w:rsidR="00006395">
        <w:rPr>
          <w:rFonts w:ascii="Calibri" w:hAnsi="Calibri" w:cs="ArialNarrow"/>
          <w:szCs w:val="22"/>
        </w:rPr>
        <w:t xml:space="preserve">, </w:t>
      </w:r>
      <w:r w:rsidR="006C58F8">
        <w:rPr>
          <w:rFonts w:ascii="Calibri" w:hAnsi="Calibri" w:cs="ArialNarrow"/>
          <w:szCs w:val="22"/>
        </w:rPr>
        <w:t>B</w:t>
      </w:r>
      <w:r w:rsidR="008E6C0F">
        <w:rPr>
          <w:rFonts w:ascii="Calibri" w:hAnsi="Calibri" w:cs="ArialNarrow"/>
          <w:szCs w:val="22"/>
        </w:rPr>
        <w:t xml:space="preserve"> – </w:t>
      </w:r>
      <w:r w:rsidR="00B83C00">
        <w:rPr>
          <w:rFonts w:ascii="Calibri" w:hAnsi="Calibri" w:cs="ArialNarrow"/>
          <w:szCs w:val="22"/>
        </w:rPr>
        <w:t>73</w:t>
      </w:r>
      <w:r w:rsidR="008E6C0F">
        <w:rPr>
          <w:rFonts w:ascii="Calibri" w:hAnsi="Calibri" w:cs="ArialNarrow"/>
          <w:szCs w:val="22"/>
        </w:rPr>
        <w:t xml:space="preserve">, C – </w:t>
      </w:r>
      <w:r w:rsidR="00B83C00">
        <w:rPr>
          <w:rFonts w:ascii="Calibri" w:hAnsi="Calibri" w:cs="ArialNarrow"/>
          <w:szCs w:val="22"/>
        </w:rPr>
        <w:t>19, D – 1</w:t>
      </w:r>
      <w:r w:rsidR="00511E80">
        <w:rPr>
          <w:rFonts w:ascii="Calibri" w:hAnsi="Calibri" w:cs="ArialNarrow"/>
          <w:szCs w:val="22"/>
        </w:rPr>
        <w:t xml:space="preserve"> </w:t>
      </w:r>
      <w:r w:rsidR="00006395">
        <w:rPr>
          <w:rFonts w:ascii="Calibri" w:hAnsi="Calibri" w:cs="ArialNarrow"/>
          <w:szCs w:val="22"/>
        </w:rPr>
        <w:t>and E</w:t>
      </w:r>
      <w:r w:rsidR="00BA5693">
        <w:rPr>
          <w:rFonts w:ascii="Calibri" w:hAnsi="Calibri" w:cs="ArialNarrow"/>
          <w:szCs w:val="22"/>
        </w:rPr>
        <w:t xml:space="preserve"> –</w:t>
      </w:r>
      <w:r w:rsidR="00B83C00">
        <w:rPr>
          <w:rFonts w:ascii="Calibri" w:hAnsi="Calibri" w:cs="ArialNarrow"/>
          <w:szCs w:val="22"/>
        </w:rPr>
        <w:t xml:space="preserve"> 42</w:t>
      </w:r>
      <w:r w:rsidR="00006395">
        <w:rPr>
          <w:rFonts w:ascii="Calibri" w:hAnsi="Calibri" w:cs="ArialNarrow"/>
          <w:szCs w:val="22"/>
        </w:rPr>
        <w:t>.</w:t>
      </w:r>
      <w:r w:rsidR="00AC3FFF">
        <w:rPr>
          <w:rFonts w:ascii="Calibri" w:hAnsi="Calibri" w:cs="ArialNarrow"/>
          <w:szCs w:val="22"/>
        </w:rPr>
        <w:t xml:space="preserve">  </w:t>
      </w:r>
    </w:p>
    <w:p w:rsidR="004F5DBC" w:rsidRDefault="004F5DBC" w:rsidP="007C02F8">
      <w:pPr>
        <w:rPr>
          <w:rFonts w:ascii="Calibri" w:hAnsi="Calibri" w:cs="ArialNarrow"/>
          <w:szCs w:val="22"/>
        </w:rPr>
      </w:pPr>
    </w:p>
    <w:p w:rsidR="00714CCA" w:rsidRDefault="00B83C00" w:rsidP="005366CD">
      <w:pPr>
        <w:pStyle w:val="ListParagraph"/>
        <w:numPr>
          <w:ilvl w:val="0"/>
          <w:numId w:val="7"/>
        </w:numPr>
        <w:rPr>
          <w:rFonts w:ascii="Calibri" w:hAnsi="Calibri" w:cs="ArialNarrow"/>
          <w:szCs w:val="22"/>
        </w:rPr>
      </w:pPr>
      <w:r w:rsidRPr="00714CCA">
        <w:rPr>
          <w:rFonts w:ascii="Calibri" w:hAnsi="Calibri" w:cs="ArialNarrow"/>
          <w:szCs w:val="22"/>
        </w:rPr>
        <w:t>Of the 146</w:t>
      </w:r>
      <w:r w:rsidR="00947E0D" w:rsidRPr="00714CCA">
        <w:rPr>
          <w:rFonts w:ascii="Calibri" w:hAnsi="Calibri" w:cs="ArialNarrow"/>
          <w:szCs w:val="22"/>
        </w:rPr>
        <w:t xml:space="preserve"> incidents </w:t>
      </w:r>
      <w:r w:rsidRPr="00714CCA">
        <w:rPr>
          <w:rFonts w:ascii="Calibri" w:hAnsi="Calibri" w:cs="ArialNarrow"/>
          <w:szCs w:val="22"/>
        </w:rPr>
        <w:t>28</w:t>
      </w:r>
      <w:r w:rsidR="00947E0D" w:rsidRPr="00714CCA">
        <w:rPr>
          <w:rFonts w:ascii="Calibri" w:hAnsi="Calibri" w:cs="ArialNarrow"/>
          <w:szCs w:val="22"/>
        </w:rPr>
        <w:t xml:space="preserve">% were </w:t>
      </w:r>
      <w:r w:rsidR="00714CCA" w:rsidRPr="00714CCA">
        <w:rPr>
          <w:rFonts w:ascii="Calibri" w:hAnsi="Calibri" w:cs="ArialNarrow"/>
          <w:szCs w:val="22"/>
        </w:rPr>
        <w:t xml:space="preserve">classified as </w:t>
      </w:r>
      <w:r w:rsidRPr="00714CCA">
        <w:rPr>
          <w:rFonts w:ascii="Calibri" w:hAnsi="Calibri" w:cs="ArialNarrow"/>
          <w:szCs w:val="22"/>
        </w:rPr>
        <w:t>other</w:t>
      </w:r>
      <w:r w:rsidR="00714CCA">
        <w:rPr>
          <w:rFonts w:ascii="Calibri" w:hAnsi="Calibri" w:cs="ArialNarrow"/>
          <w:szCs w:val="22"/>
        </w:rPr>
        <w:t>.</w:t>
      </w:r>
    </w:p>
    <w:p w:rsidR="00987258" w:rsidRPr="00714CCA" w:rsidRDefault="00B83C00" w:rsidP="005366CD">
      <w:pPr>
        <w:pStyle w:val="ListParagraph"/>
        <w:numPr>
          <w:ilvl w:val="0"/>
          <w:numId w:val="7"/>
        </w:numPr>
        <w:rPr>
          <w:rFonts w:ascii="Calibri" w:hAnsi="Calibri" w:cs="ArialNarrow"/>
          <w:szCs w:val="22"/>
        </w:rPr>
      </w:pPr>
      <w:r w:rsidRPr="00714CCA">
        <w:rPr>
          <w:rFonts w:ascii="Calibri" w:hAnsi="Calibri" w:cs="ArialNarrow"/>
          <w:szCs w:val="22"/>
        </w:rPr>
        <w:t>5</w:t>
      </w:r>
      <w:r w:rsidR="00947E0D" w:rsidRPr="00714CCA">
        <w:rPr>
          <w:rFonts w:ascii="Calibri" w:hAnsi="Calibri" w:cs="ArialNarrow"/>
          <w:szCs w:val="22"/>
        </w:rPr>
        <w:t xml:space="preserve"> </w:t>
      </w:r>
      <w:r w:rsidR="00987258" w:rsidRPr="00714CCA">
        <w:rPr>
          <w:rFonts w:ascii="Calibri" w:hAnsi="Calibri" w:cs="ArialNarrow"/>
          <w:szCs w:val="22"/>
        </w:rPr>
        <w:t xml:space="preserve">residents had </w:t>
      </w:r>
      <w:r w:rsidRPr="00714CCA">
        <w:rPr>
          <w:rFonts w:ascii="Calibri" w:hAnsi="Calibri" w:cs="ArialNarrow"/>
          <w:szCs w:val="22"/>
        </w:rPr>
        <w:t>3</w:t>
      </w:r>
      <w:r w:rsidR="00947E0D" w:rsidRPr="00714CCA">
        <w:rPr>
          <w:rFonts w:ascii="Calibri" w:hAnsi="Calibri" w:cs="ArialNarrow"/>
          <w:szCs w:val="22"/>
        </w:rPr>
        <w:t xml:space="preserve"> or more </w:t>
      </w:r>
      <w:r w:rsidR="00987258" w:rsidRPr="00714CCA">
        <w:rPr>
          <w:rFonts w:ascii="Calibri" w:hAnsi="Calibri" w:cs="ArialNarrow"/>
          <w:szCs w:val="22"/>
        </w:rPr>
        <w:t xml:space="preserve">incidents </w:t>
      </w:r>
      <w:r w:rsidR="00511E80" w:rsidRPr="00714CCA">
        <w:rPr>
          <w:rFonts w:ascii="Calibri" w:hAnsi="Calibri" w:cs="ArialNarrow"/>
          <w:szCs w:val="22"/>
        </w:rPr>
        <w:t>th</w:t>
      </w:r>
      <w:r w:rsidR="004175E1" w:rsidRPr="00714CCA">
        <w:rPr>
          <w:rFonts w:ascii="Calibri" w:hAnsi="Calibri" w:cs="ArialNarrow"/>
          <w:szCs w:val="22"/>
        </w:rPr>
        <w:t>is quarter</w:t>
      </w:r>
      <w:r w:rsidR="009B019B" w:rsidRPr="00714CCA">
        <w:rPr>
          <w:rFonts w:ascii="Calibri" w:hAnsi="Calibri" w:cs="ArialNarrow"/>
          <w:szCs w:val="22"/>
        </w:rPr>
        <w:t xml:space="preserve"> (excluding med occurrences)</w:t>
      </w:r>
      <w:r w:rsidRPr="00714CCA">
        <w:rPr>
          <w:rFonts w:ascii="Calibri" w:hAnsi="Calibri" w:cs="ArialNarrow"/>
          <w:szCs w:val="22"/>
        </w:rPr>
        <w:t xml:space="preserve"> and accounted for 37 incidents (30</w:t>
      </w:r>
      <w:r w:rsidR="00947E0D" w:rsidRPr="00714CCA">
        <w:rPr>
          <w:rFonts w:ascii="Calibri" w:hAnsi="Calibri" w:cs="ArialNarrow"/>
          <w:szCs w:val="22"/>
        </w:rPr>
        <w:t>%).</w:t>
      </w:r>
      <w:r w:rsidRPr="00714CCA">
        <w:rPr>
          <w:rFonts w:ascii="Calibri" w:hAnsi="Calibri" w:cs="ArialNarrow"/>
          <w:szCs w:val="22"/>
        </w:rPr>
        <w:t xml:space="preserve"> 1 resident had 18 incidents and 1 resident had 10 incidents. </w:t>
      </w:r>
    </w:p>
    <w:p w:rsidR="00B83C00" w:rsidRDefault="00B83C00" w:rsidP="00947E0D">
      <w:pPr>
        <w:pStyle w:val="ListParagraph"/>
        <w:numPr>
          <w:ilvl w:val="0"/>
          <w:numId w:val="7"/>
        </w:num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With the room renovation project underway D </w:t>
      </w:r>
      <w:r w:rsidR="00F35232">
        <w:rPr>
          <w:rFonts w:ascii="Calibri" w:hAnsi="Calibri" w:cs="ArialNarrow"/>
          <w:szCs w:val="22"/>
        </w:rPr>
        <w:t>wing residents have been</w:t>
      </w:r>
      <w:r>
        <w:rPr>
          <w:rFonts w:ascii="Calibri" w:hAnsi="Calibri" w:cs="ArialNarrow"/>
          <w:szCs w:val="22"/>
        </w:rPr>
        <w:t xml:space="preserve"> temporarily accommodated on other wings resulting in incidents being shifted from D</w:t>
      </w:r>
      <w:r w:rsidR="00F35232">
        <w:rPr>
          <w:rFonts w:ascii="Calibri" w:hAnsi="Calibri" w:cs="ArialNarrow"/>
          <w:szCs w:val="22"/>
        </w:rPr>
        <w:t xml:space="preserve"> wing.</w:t>
      </w:r>
      <w:r>
        <w:rPr>
          <w:rFonts w:ascii="Calibri" w:hAnsi="Calibri" w:cs="ArialNarrow"/>
          <w:szCs w:val="22"/>
        </w:rPr>
        <w:t xml:space="preserve"> </w:t>
      </w:r>
    </w:p>
    <w:p w:rsidR="00714CCA" w:rsidRDefault="00714CCA" w:rsidP="00714CCA">
      <w:pPr>
        <w:rPr>
          <w:rFonts w:ascii="Calibri" w:hAnsi="Calibri" w:cs="ArialNarrow"/>
          <w:szCs w:val="22"/>
        </w:rPr>
      </w:pPr>
    </w:p>
    <w:p w:rsidR="00714CCA" w:rsidRDefault="00714CCA" w:rsidP="00714CCA">
      <w:pPr>
        <w:rPr>
          <w:rFonts w:ascii="Calibri" w:hAnsi="Calibri" w:cs="ArialNarrow"/>
          <w:szCs w:val="22"/>
        </w:rPr>
      </w:pPr>
    </w:p>
    <w:p w:rsidR="00714CCA" w:rsidRDefault="00714CCA" w:rsidP="00714CCA">
      <w:pPr>
        <w:rPr>
          <w:rFonts w:ascii="Calibri" w:hAnsi="Calibri" w:cs="ArialNarrow"/>
          <w:szCs w:val="22"/>
        </w:rPr>
      </w:pPr>
    </w:p>
    <w:p w:rsidR="00714CCA" w:rsidRPr="00714CCA" w:rsidRDefault="00714CCA" w:rsidP="00714CCA">
      <w:pPr>
        <w:rPr>
          <w:rFonts w:ascii="Calibri" w:hAnsi="Calibri" w:cs="ArialNarrow"/>
          <w:szCs w:val="22"/>
        </w:rPr>
      </w:pPr>
    </w:p>
    <w:p w:rsidR="00947E0D" w:rsidRPr="00947E0D" w:rsidRDefault="00947E0D" w:rsidP="00947E0D">
      <w:pPr>
        <w:rPr>
          <w:rFonts w:ascii="Calibri" w:hAnsi="Calibri" w:cs="ArialNarrow"/>
          <w:szCs w:val="22"/>
        </w:rPr>
      </w:pPr>
    </w:p>
    <w:p w:rsidR="0094473E" w:rsidRPr="009400B4" w:rsidRDefault="0094473E" w:rsidP="007C02F8">
      <w:pPr>
        <w:rPr>
          <w:rFonts w:ascii="Calibri" w:hAnsi="Calibri" w:cs="ArialNarrow"/>
          <w:szCs w:val="22"/>
        </w:rPr>
      </w:pPr>
    </w:p>
    <w:p w:rsidR="007C02F8" w:rsidRDefault="007C02F8" w:rsidP="007C02F8">
      <w:pPr>
        <w:rPr>
          <w:rFonts w:ascii="Calibri" w:hAnsi="Calibri" w:cs="ArialNarrow"/>
          <w:b/>
          <w:szCs w:val="22"/>
        </w:rPr>
      </w:pPr>
      <w:r w:rsidRPr="009400B4">
        <w:rPr>
          <w:rFonts w:ascii="Calibri" w:hAnsi="Calibri" w:cs="ArialNarrow"/>
          <w:b/>
          <w:szCs w:val="22"/>
        </w:rPr>
        <w:t>Responsive Behav</w:t>
      </w:r>
      <w:r w:rsidR="0094473E">
        <w:rPr>
          <w:rFonts w:ascii="Calibri" w:hAnsi="Calibri" w:cs="ArialNarrow"/>
          <w:b/>
          <w:szCs w:val="22"/>
        </w:rPr>
        <w:t>io</w:t>
      </w:r>
      <w:r w:rsidRPr="009400B4">
        <w:rPr>
          <w:rFonts w:ascii="Calibri" w:hAnsi="Calibri" w:cs="ArialNarrow"/>
          <w:b/>
          <w:szCs w:val="22"/>
        </w:rPr>
        <w:t>rs</w:t>
      </w:r>
      <w:r w:rsidR="00D14085">
        <w:rPr>
          <w:rFonts w:ascii="Calibri" w:hAnsi="Calibri" w:cs="ArialNarrow"/>
          <w:b/>
          <w:szCs w:val="22"/>
        </w:rPr>
        <w:t xml:space="preserve"> </w:t>
      </w:r>
    </w:p>
    <w:p w:rsidR="00B336A1" w:rsidRPr="00D14085" w:rsidRDefault="00B336A1" w:rsidP="007C02F8">
      <w:pPr>
        <w:rPr>
          <w:rFonts w:ascii="Calibri" w:hAnsi="Calibri" w:cs="ArialNarrow"/>
          <w:b/>
          <w:i/>
          <w:szCs w:val="22"/>
          <w:u w:val="single"/>
        </w:rPr>
      </w:pPr>
    </w:p>
    <w:p w:rsidR="006C58F8" w:rsidRDefault="007C02F8" w:rsidP="006C58F8">
      <w:pPr>
        <w:rPr>
          <w:rFonts w:ascii="Calibri" w:hAnsi="Calibri" w:cs="ArialNarrow"/>
          <w:szCs w:val="22"/>
        </w:rPr>
      </w:pPr>
      <w:r w:rsidRPr="009400B4">
        <w:rPr>
          <w:rFonts w:ascii="Calibri" w:hAnsi="Calibri" w:cs="ArialNarrow"/>
          <w:szCs w:val="22"/>
        </w:rPr>
        <w:t xml:space="preserve">Of the </w:t>
      </w:r>
      <w:r w:rsidR="00B83C00">
        <w:rPr>
          <w:rFonts w:ascii="Calibri" w:hAnsi="Calibri" w:cs="ArialNarrow"/>
          <w:szCs w:val="22"/>
        </w:rPr>
        <w:t>37</w:t>
      </w:r>
      <w:r w:rsidR="00ED0395">
        <w:rPr>
          <w:rFonts w:ascii="Calibri" w:hAnsi="Calibri" w:cs="ArialNarrow"/>
          <w:szCs w:val="22"/>
        </w:rPr>
        <w:t xml:space="preserve"> </w:t>
      </w:r>
      <w:r w:rsidRPr="009400B4">
        <w:rPr>
          <w:rFonts w:ascii="Calibri" w:hAnsi="Calibri" w:cs="ArialNarrow"/>
          <w:szCs w:val="22"/>
        </w:rPr>
        <w:t>incidents,</w:t>
      </w:r>
      <w:r w:rsidR="00791873">
        <w:rPr>
          <w:rFonts w:ascii="Calibri" w:hAnsi="Calibri" w:cs="ArialNarrow"/>
          <w:szCs w:val="22"/>
        </w:rPr>
        <w:t xml:space="preserve"> </w:t>
      </w:r>
      <w:r w:rsidR="00B83C00">
        <w:rPr>
          <w:rFonts w:ascii="Calibri" w:hAnsi="Calibri" w:cs="ArialNarrow"/>
          <w:szCs w:val="22"/>
        </w:rPr>
        <w:t>4</w:t>
      </w:r>
      <w:r w:rsidR="00D14085">
        <w:rPr>
          <w:rFonts w:ascii="Calibri" w:hAnsi="Calibri" w:cs="ArialNarrow"/>
          <w:szCs w:val="22"/>
        </w:rPr>
        <w:t xml:space="preserve"> resident</w:t>
      </w:r>
      <w:r w:rsidR="009B019B">
        <w:rPr>
          <w:rFonts w:ascii="Calibri" w:hAnsi="Calibri" w:cs="ArialNarrow"/>
          <w:szCs w:val="22"/>
        </w:rPr>
        <w:t>s</w:t>
      </w:r>
      <w:r w:rsidR="00D14085">
        <w:rPr>
          <w:rFonts w:ascii="Calibri" w:hAnsi="Calibri" w:cs="ArialNarrow"/>
          <w:szCs w:val="22"/>
        </w:rPr>
        <w:t xml:space="preserve"> </w:t>
      </w:r>
      <w:r w:rsidRPr="009400B4">
        <w:rPr>
          <w:rFonts w:ascii="Calibri" w:hAnsi="Calibri" w:cs="ArialNarrow"/>
          <w:szCs w:val="22"/>
        </w:rPr>
        <w:t>account</w:t>
      </w:r>
      <w:r w:rsidR="009834D6">
        <w:rPr>
          <w:rFonts w:ascii="Calibri" w:hAnsi="Calibri" w:cs="ArialNarrow"/>
          <w:szCs w:val="22"/>
        </w:rPr>
        <w:t>ed</w:t>
      </w:r>
      <w:r w:rsidRPr="009400B4">
        <w:rPr>
          <w:rFonts w:ascii="Calibri" w:hAnsi="Calibri" w:cs="ArialNarrow"/>
          <w:szCs w:val="22"/>
        </w:rPr>
        <w:t xml:space="preserve"> for </w:t>
      </w:r>
      <w:r w:rsidR="00B83C00">
        <w:rPr>
          <w:rFonts w:ascii="Calibri" w:hAnsi="Calibri" w:cs="ArialNarrow"/>
          <w:szCs w:val="22"/>
        </w:rPr>
        <w:t>5</w:t>
      </w:r>
      <w:r w:rsidR="009B019B">
        <w:rPr>
          <w:rFonts w:ascii="Calibri" w:hAnsi="Calibri" w:cs="ArialNarrow"/>
          <w:szCs w:val="22"/>
        </w:rPr>
        <w:t>9</w:t>
      </w:r>
      <w:r w:rsidR="00735F15">
        <w:rPr>
          <w:rFonts w:ascii="Calibri" w:hAnsi="Calibri" w:cs="ArialNarrow"/>
          <w:szCs w:val="22"/>
        </w:rPr>
        <w:t>%</w:t>
      </w:r>
      <w:r w:rsidR="00B604E4">
        <w:rPr>
          <w:rFonts w:ascii="Calibri" w:hAnsi="Calibri" w:cs="ArialNarrow"/>
          <w:szCs w:val="22"/>
        </w:rPr>
        <w:t xml:space="preserve"> of the incidents</w:t>
      </w:r>
      <w:r w:rsidR="009834D6">
        <w:rPr>
          <w:rFonts w:ascii="Calibri" w:hAnsi="Calibri" w:cs="ArialNarrow"/>
          <w:szCs w:val="22"/>
        </w:rPr>
        <w:t>.</w:t>
      </w:r>
      <w:r w:rsidR="00B83C00">
        <w:rPr>
          <w:rFonts w:ascii="Calibri" w:hAnsi="Calibri" w:cs="ArialNarrow"/>
          <w:szCs w:val="22"/>
        </w:rPr>
        <w:t xml:space="preserve"> 1 resident had 10 incidents and 1</w:t>
      </w:r>
      <w:r w:rsidR="009B019B">
        <w:rPr>
          <w:rFonts w:ascii="Calibri" w:hAnsi="Calibri" w:cs="ArialNarrow"/>
          <w:szCs w:val="22"/>
        </w:rPr>
        <w:t xml:space="preserve"> resident</w:t>
      </w:r>
      <w:r w:rsidR="00B83C00">
        <w:rPr>
          <w:rFonts w:ascii="Calibri" w:hAnsi="Calibri" w:cs="ArialNarrow"/>
          <w:szCs w:val="22"/>
        </w:rPr>
        <w:t xml:space="preserve"> had 5, 1 resident had 4 and 1 had</w:t>
      </w:r>
      <w:r w:rsidR="009B019B">
        <w:rPr>
          <w:rFonts w:ascii="Calibri" w:hAnsi="Calibri" w:cs="ArialNarrow"/>
          <w:szCs w:val="22"/>
        </w:rPr>
        <w:t xml:space="preserve"> 3 incidents each.</w:t>
      </w:r>
      <w:r w:rsidR="009834D6">
        <w:rPr>
          <w:rFonts w:ascii="Calibri" w:hAnsi="Calibri" w:cs="ArialNarrow"/>
          <w:szCs w:val="22"/>
        </w:rPr>
        <w:t xml:space="preserve"> </w:t>
      </w:r>
      <w:r w:rsidR="006C58F8">
        <w:rPr>
          <w:rFonts w:ascii="Calibri" w:hAnsi="Calibri" w:cs="ArialNarrow"/>
          <w:szCs w:val="22"/>
        </w:rPr>
        <w:t xml:space="preserve"> The number of incident</w:t>
      </w:r>
      <w:r w:rsidR="00D14085">
        <w:rPr>
          <w:rFonts w:ascii="Calibri" w:hAnsi="Calibri" w:cs="ArialNarrow"/>
          <w:szCs w:val="22"/>
        </w:rPr>
        <w:t>s per wing: A –</w:t>
      </w:r>
      <w:r w:rsidR="00B83C00">
        <w:rPr>
          <w:rFonts w:ascii="Calibri" w:hAnsi="Calibri" w:cs="ArialNarrow"/>
          <w:szCs w:val="22"/>
        </w:rPr>
        <w:t>1</w:t>
      </w:r>
      <w:r w:rsidR="00F309AC">
        <w:rPr>
          <w:rFonts w:ascii="Calibri" w:hAnsi="Calibri" w:cs="ArialNarrow"/>
          <w:szCs w:val="22"/>
        </w:rPr>
        <w:t>, B –</w:t>
      </w:r>
      <w:proofErr w:type="gramStart"/>
      <w:r w:rsidR="00B83C00">
        <w:rPr>
          <w:rFonts w:ascii="Calibri" w:hAnsi="Calibri" w:cs="ArialNarrow"/>
          <w:szCs w:val="22"/>
        </w:rPr>
        <w:t>28</w:t>
      </w:r>
      <w:r w:rsidR="00F309AC">
        <w:rPr>
          <w:rFonts w:ascii="Calibri" w:hAnsi="Calibri" w:cs="ArialNarrow"/>
          <w:szCs w:val="22"/>
        </w:rPr>
        <w:t xml:space="preserve"> </w:t>
      </w:r>
      <w:r w:rsidR="00B604E4">
        <w:rPr>
          <w:rFonts w:ascii="Calibri" w:hAnsi="Calibri" w:cs="ArialNarrow"/>
          <w:szCs w:val="22"/>
        </w:rPr>
        <w:t>,</w:t>
      </w:r>
      <w:proofErr w:type="gramEnd"/>
      <w:r w:rsidR="00B604E4">
        <w:rPr>
          <w:rFonts w:ascii="Calibri" w:hAnsi="Calibri" w:cs="ArialNarrow"/>
          <w:szCs w:val="22"/>
        </w:rPr>
        <w:t xml:space="preserve"> C –</w:t>
      </w:r>
      <w:r w:rsidR="00B83C00">
        <w:rPr>
          <w:rFonts w:ascii="Calibri" w:hAnsi="Calibri" w:cs="ArialNarrow"/>
          <w:szCs w:val="22"/>
        </w:rPr>
        <w:t>1</w:t>
      </w:r>
      <w:r w:rsidR="00B604E4">
        <w:rPr>
          <w:rFonts w:ascii="Calibri" w:hAnsi="Calibri" w:cs="ArialNarrow"/>
          <w:szCs w:val="22"/>
        </w:rPr>
        <w:t xml:space="preserve"> </w:t>
      </w:r>
      <w:r w:rsidR="00D14085">
        <w:rPr>
          <w:rFonts w:ascii="Calibri" w:hAnsi="Calibri" w:cs="ArialNarrow"/>
          <w:szCs w:val="22"/>
        </w:rPr>
        <w:t>, D –</w:t>
      </w:r>
      <w:r w:rsidR="00B83C00">
        <w:rPr>
          <w:rFonts w:ascii="Calibri" w:hAnsi="Calibri" w:cs="ArialNarrow"/>
          <w:szCs w:val="22"/>
        </w:rPr>
        <w:t>0</w:t>
      </w:r>
      <w:r w:rsidR="00D14085">
        <w:rPr>
          <w:rFonts w:ascii="Calibri" w:hAnsi="Calibri" w:cs="ArialNarrow"/>
          <w:szCs w:val="22"/>
        </w:rPr>
        <w:t xml:space="preserve"> </w:t>
      </w:r>
      <w:r w:rsidR="006C58F8">
        <w:rPr>
          <w:rFonts w:ascii="Calibri" w:hAnsi="Calibri" w:cs="ArialNarrow"/>
          <w:szCs w:val="22"/>
        </w:rPr>
        <w:t xml:space="preserve"> and E – </w:t>
      </w:r>
      <w:r w:rsidR="00B83C00">
        <w:rPr>
          <w:rFonts w:ascii="Calibri" w:hAnsi="Calibri" w:cs="ArialNarrow"/>
          <w:szCs w:val="22"/>
        </w:rPr>
        <w:t>7</w:t>
      </w:r>
      <w:r w:rsidR="00D14085">
        <w:rPr>
          <w:rFonts w:ascii="Calibri" w:hAnsi="Calibri" w:cs="ArialNarrow"/>
          <w:szCs w:val="22"/>
        </w:rPr>
        <w:t xml:space="preserve">.  </w:t>
      </w:r>
      <w:r w:rsidR="006C58F8">
        <w:rPr>
          <w:rFonts w:ascii="Calibri" w:hAnsi="Calibri" w:cs="ArialNarrow"/>
          <w:szCs w:val="22"/>
        </w:rPr>
        <w:t xml:space="preserve"> </w:t>
      </w:r>
    </w:p>
    <w:p w:rsidR="006C58F8" w:rsidRDefault="006C58F8" w:rsidP="007C02F8">
      <w:pPr>
        <w:rPr>
          <w:rFonts w:ascii="Calibri" w:hAnsi="Calibri" w:cs="ArialNarrow"/>
          <w:szCs w:val="22"/>
        </w:rPr>
      </w:pPr>
    </w:p>
    <w:p w:rsidR="007C02F8" w:rsidRDefault="00D14085" w:rsidP="007C02F8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 xml:space="preserve">There were </w:t>
      </w:r>
      <w:r w:rsidR="00B83C00">
        <w:rPr>
          <w:rFonts w:ascii="Calibri" w:hAnsi="Calibri" w:cs="ArialNarrow"/>
          <w:szCs w:val="22"/>
        </w:rPr>
        <w:t>31</w:t>
      </w:r>
      <w:r w:rsidR="00B604E4">
        <w:rPr>
          <w:rFonts w:ascii="Calibri" w:hAnsi="Calibri" w:cs="ArialNarrow"/>
          <w:szCs w:val="22"/>
        </w:rPr>
        <w:t xml:space="preserve"> </w:t>
      </w:r>
      <w:r w:rsidR="009834D6">
        <w:rPr>
          <w:rFonts w:ascii="Calibri" w:hAnsi="Calibri" w:cs="ArialNarrow"/>
          <w:szCs w:val="22"/>
        </w:rPr>
        <w:t>e</w:t>
      </w:r>
      <w:r w:rsidR="00B604E4">
        <w:rPr>
          <w:rFonts w:ascii="Calibri" w:hAnsi="Calibri" w:cs="ArialNarrow"/>
          <w:szCs w:val="22"/>
        </w:rPr>
        <w:t xml:space="preserve">pisodes of physical aggression and </w:t>
      </w:r>
      <w:r w:rsidR="00B83C00">
        <w:rPr>
          <w:rFonts w:ascii="Calibri" w:hAnsi="Calibri" w:cs="ArialNarrow"/>
          <w:szCs w:val="22"/>
        </w:rPr>
        <w:t>6</w:t>
      </w:r>
      <w:r w:rsidR="00B604E4">
        <w:rPr>
          <w:rFonts w:ascii="Calibri" w:hAnsi="Calibri" w:cs="ArialNarrow"/>
          <w:szCs w:val="22"/>
        </w:rPr>
        <w:t xml:space="preserve"> incidents of verbal aggression. </w:t>
      </w:r>
      <w:r w:rsidR="009B019B">
        <w:rPr>
          <w:rFonts w:ascii="Calibri" w:hAnsi="Calibri" w:cs="ArialNarrow"/>
          <w:szCs w:val="22"/>
        </w:rPr>
        <w:t>No</w:t>
      </w:r>
      <w:r w:rsidR="0028577C">
        <w:rPr>
          <w:rFonts w:ascii="Calibri" w:hAnsi="Calibri" w:cs="ArialNarrow"/>
          <w:szCs w:val="22"/>
        </w:rPr>
        <w:t xml:space="preserve"> </w:t>
      </w:r>
      <w:r w:rsidR="00791873">
        <w:rPr>
          <w:rFonts w:ascii="Calibri" w:hAnsi="Calibri" w:cs="ArialNarrow"/>
          <w:szCs w:val="22"/>
        </w:rPr>
        <w:t>incident</w:t>
      </w:r>
      <w:r w:rsidR="009B019B">
        <w:rPr>
          <w:rFonts w:ascii="Calibri" w:hAnsi="Calibri" w:cs="ArialNarrow"/>
          <w:szCs w:val="22"/>
        </w:rPr>
        <w:t>s resulted in an injury</w:t>
      </w:r>
      <w:r w:rsidR="0028577C">
        <w:rPr>
          <w:rFonts w:ascii="Calibri" w:hAnsi="Calibri" w:cs="ArialNarrow"/>
          <w:szCs w:val="22"/>
        </w:rPr>
        <w:t>.</w:t>
      </w:r>
    </w:p>
    <w:p w:rsidR="00483D2E" w:rsidRDefault="00483D2E" w:rsidP="007C02F8">
      <w:pPr>
        <w:rPr>
          <w:rFonts w:ascii="Calibri" w:hAnsi="Calibri" w:cs="ArialNarrow"/>
          <w:szCs w:val="22"/>
        </w:rPr>
      </w:pPr>
    </w:p>
    <w:p w:rsidR="00483D2E" w:rsidRDefault="00483D2E" w:rsidP="00483D2E">
      <w:pPr>
        <w:rPr>
          <w:rFonts w:ascii="Calibri" w:hAnsi="Calibri" w:cs="ArialNarrow"/>
          <w:szCs w:val="22"/>
        </w:rPr>
      </w:pPr>
      <w:r>
        <w:rPr>
          <w:rFonts w:ascii="Calibri" w:hAnsi="Calibri" w:cs="ArialNarrow"/>
          <w:szCs w:val="22"/>
        </w:rPr>
        <w:t>All Responsive Behaviour incidents continue to be reviewed by</w:t>
      </w:r>
      <w:r w:rsidR="00B83C00">
        <w:rPr>
          <w:rFonts w:ascii="Calibri" w:hAnsi="Calibri" w:cs="ArialNarrow"/>
          <w:szCs w:val="22"/>
        </w:rPr>
        <w:t xml:space="preserve"> the Responsive Behavior Team which includes the zone Behavior Resource Consultant. PIECES and GPA continue to be the foundation for our behavior support approach. </w:t>
      </w:r>
    </w:p>
    <w:p w:rsidR="00B83C00" w:rsidRDefault="00B83C00" w:rsidP="00483D2E">
      <w:pPr>
        <w:rPr>
          <w:rFonts w:ascii="Calibri" w:hAnsi="Calibri" w:cs="ArialNarrow"/>
          <w:szCs w:val="22"/>
        </w:rPr>
      </w:pPr>
    </w:p>
    <w:p w:rsidR="00483D2E" w:rsidRPr="009400B4" w:rsidRDefault="00483D2E" w:rsidP="007C02F8">
      <w:pPr>
        <w:rPr>
          <w:rFonts w:ascii="Calibri" w:hAnsi="Calibri" w:cs="ArialNarrow"/>
          <w:szCs w:val="22"/>
        </w:rPr>
      </w:pPr>
    </w:p>
    <w:p w:rsidR="007C02F8" w:rsidRDefault="007C02F8" w:rsidP="007C02F8">
      <w:pPr>
        <w:rPr>
          <w:b/>
          <w:szCs w:val="22"/>
        </w:rPr>
      </w:pPr>
      <w:r>
        <w:rPr>
          <w:b/>
          <w:szCs w:val="22"/>
        </w:rPr>
        <w:t>Falls</w:t>
      </w:r>
      <w:r w:rsidR="00BF0B2B">
        <w:rPr>
          <w:b/>
          <w:szCs w:val="22"/>
        </w:rPr>
        <w:t xml:space="preserve"> </w:t>
      </w:r>
    </w:p>
    <w:p w:rsidR="00791873" w:rsidRPr="009400B4" w:rsidRDefault="00791873" w:rsidP="007C02F8">
      <w:pPr>
        <w:rPr>
          <w:b/>
          <w:szCs w:val="22"/>
        </w:rPr>
      </w:pPr>
    </w:p>
    <w:p w:rsidR="005F22C7" w:rsidRDefault="007C02F8" w:rsidP="00483D2E">
      <w:pPr>
        <w:rPr>
          <w:szCs w:val="22"/>
        </w:rPr>
      </w:pPr>
      <w:r w:rsidRPr="009400B4">
        <w:rPr>
          <w:szCs w:val="22"/>
        </w:rPr>
        <w:t>The number of falls</w:t>
      </w:r>
      <w:r w:rsidR="003C133E">
        <w:rPr>
          <w:szCs w:val="22"/>
        </w:rPr>
        <w:t xml:space="preserve"> </w:t>
      </w:r>
      <w:r w:rsidR="00B83C00">
        <w:rPr>
          <w:szCs w:val="22"/>
        </w:rPr>
        <w:t>have increased</w:t>
      </w:r>
      <w:r w:rsidR="009B019B">
        <w:rPr>
          <w:szCs w:val="22"/>
        </w:rPr>
        <w:t xml:space="preserve"> since </w:t>
      </w:r>
      <w:r w:rsidR="00483D2E">
        <w:rPr>
          <w:szCs w:val="22"/>
        </w:rPr>
        <w:t>last quarter</w:t>
      </w:r>
      <w:r w:rsidR="00E249B6">
        <w:rPr>
          <w:szCs w:val="22"/>
        </w:rPr>
        <w:t xml:space="preserve"> (</w:t>
      </w:r>
      <w:r w:rsidR="00B83C00">
        <w:rPr>
          <w:szCs w:val="22"/>
        </w:rPr>
        <w:t>35</w:t>
      </w:r>
      <w:r w:rsidR="003C133E">
        <w:rPr>
          <w:szCs w:val="22"/>
        </w:rPr>
        <w:t xml:space="preserve"> falls)</w:t>
      </w:r>
      <w:r w:rsidR="00E249B6">
        <w:rPr>
          <w:szCs w:val="22"/>
        </w:rPr>
        <w:t xml:space="preserve"> and</w:t>
      </w:r>
      <w:r w:rsidR="00B83C00">
        <w:rPr>
          <w:szCs w:val="22"/>
        </w:rPr>
        <w:t xml:space="preserve"> improved</w:t>
      </w:r>
      <w:r w:rsidR="00E249B6">
        <w:rPr>
          <w:szCs w:val="22"/>
        </w:rPr>
        <w:t xml:space="preserve"> </w:t>
      </w:r>
      <w:r w:rsidR="0028577C">
        <w:rPr>
          <w:szCs w:val="22"/>
        </w:rPr>
        <w:t xml:space="preserve">from the </w:t>
      </w:r>
      <w:r w:rsidR="00483D2E">
        <w:rPr>
          <w:szCs w:val="22"/>
        </w:rPr>
        <w:t>same quarter of last year</w:t>
      </w:r>
      <w:r w:rsidR="009B019B">
        <w:rPr>
          <w:szCs w:val="22"/>
        </w:rPr>
        <w:t xml:space="preserve"> (49</w:t>
      </w:r>
      <w:r w:rsidR="004623DC">
        <w:rPr>
          <w:szCs w:val="22"/>
        </w:rPr>
        <w:t xml:space="preserve"> </w:t>
      </w:r>
      <w:r w:rsidR="003C133E">
        <w:rPr>
          <w:szCs w:val="22"/>
        </w:rPr>
        <w:t>falls)</w:t>
      </w:r>
      <w:r w:rsidR="00483D2E">
        <w:rPr>
          <w:szCs w:val="22"/>
        </w:rPr>
        <w:t>.</w:t>
      </w:r>
      <w:r w:rsidRPr="009400B4">
        <w:rPr>
          <w:szCs w:val="22"/>
        </w:rPr>
        <w:t xml:space="preserve"> </w:t>
      </w:r>
      <w:r w:rsidR="00936038">
        <w:rPr>
          <w:szCs w:val="22"/>
        </w:rPr>
        <w:t>Three</w:t>
      </w:r>
      <w:r w:rsidR="004623DC">
        <w:rPr>
          <w:szCs w:val="22"/>
        </w:rPr>
        <w:t xml:space="preserve"> residents </w:t>
      </w:r>
      <w:r w:rsidR="005F22C7" w:rsidRPr="00BD0FF7">
        <w:rPr>
          <w:szCs w:val="22"/>
        </w:rPr>
        <w:t xml:space="preserve">accounted for </w:t>
      </w:r>
      <w:r w:rsidR="00B83C00">
        <w:rPr>
          <w:szCs w:val="22"/>
        </w:rPr>
        <w:t>23.4</w:t>
      </w:r>
      <w:r w:rsidR="00E249B6">
        <w:rPr>
          <w:szCs w:val="22"/>
        </w:rPr>
        <w:t>% of t</w:t>
      </w:r>
      <w:r w:rsidR="00BD0FF7">
        <w:rPr>
          <w:szCs w:val="22"/>
        </w:rPr>
        <w:t>he falls</w:t>
      </w:r>
      <w:r w:rsidR="004623DC">
        <w:rPr>
          <w:szCs w:val="22"/>
        </w:rPr>
        <w:t>.</w:t>
      </w:r>
      <w:r w:rsidR="00BD0FF7">
        <w:rPr>
          <w:szCs w:val="22"/>
        </w:rPr>
        <w:t xml:space="preserve"> </w:t>
      </w:r>
    </w:p>
    <w:p w:rsidR="003A274E" w:rsidRDefault="003A274E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Of the </w:t>
      </w:r>
      <w:r w:rsidR="00B83C00">
        <w:rPr>
          <w:szCs w:val="22"/>
        </w:rPr>
        <w:t>47</w:t>
      </w:r>
      <w:r w:rsidR="004623DC">
        <w:rPr>
          <w:szCs w:val="22"/>
        </w:rPr>
        <w:t xml:space="preserve"> </w:t>
      </w:r>
      <w:r>
        <w:rPr>
          <w:szCs w:val="22"/>
        </w:rPr>
        <w:t>falls</w:t>
      </w:r>
      <w:r w:rsidR="004623DC">
        <w:rPr>
          <w:szCs w:val="22"/>
        </w:rPr>
        <w:t>,</w:t>
      </w:r>
      <w:r>
        <w:rPr>
          <w:szCs w:val="22"/>
        </w:rPr>
        <w:t xml:space="preserve"> </w:t>
      </w:r>
      <w:r w:rsidR="00B83C00">
        <w:rPr>
          <w:szCs w:val="22"/>
        </w:rPr>
        <w:t>13</w:t>
      </w:r>
      <w:r>
        <w:rPr>
          <w:szCs w:val="22"/>
        </w:rPr>
        <w:t xml:space="preserve"> were witnessed and </w:t>
      </w:r>
      <w:r w:rsidR="00B83C00">
        <w:rPr>
          <w:szCs w:val="22"/>
        </w:rPr>
        <w:t>34</w:t>
      </w:r>
      <w:r>
        <w:rPr>
          <w:szCs w:val="22"/>
        </w:rPr>
        <w:t xml:space="preserve"> were unwitnessed. </w:t>
      </w:r>
    </w:p>
    <w:p w:rsidR="003A274E" w:rsidRDefault="00B83C00" w:rsidP="003A274E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lastRenderedPageBreak/>
        <w:t>9</w:t>
      </w:r>
      <w:r w:rsidR="00E249B6">
        <w:rPr>
          <w:szCs w:val="22"/>
        </w:rPr>
        <w:t xml:space="preserve"> </w:t>
      </w:r>
      <w:r w:rsidR="00BF0B2B">
        <w:rPr>
          <w:szCs w:val="22"/>
        </w:rPr>
        <w:t xml:space="preserve">falls resulted in </w:t>
      </w:r>
      <w:r w:rsidR="003A274E">
        <w:rPr>
          <w:szCs w:val="22"/>
        </w:rPr>
        <w:t>minor injuri</w:t>
      </w:r>
      <w:r w:rsidR="00936038">
        <w:rPr>
          <w:szCs w:val="22"/>
        </w:rPr>
        <w:t>es from redness to minor laceration.</w:t>
      </w:r>
      <w:r>
        <w:rPr>
          <w:szCs w:val="22"/>
        </w:rPr>
        <w:t xml:space="preserve"> No serious injuries, breaks or fractures. </w:t>
      </w:r>
    </w:p>
    <w:p w:rsidR="003A274E" w:rsidRDefault="003A274E" w:rsidP="003A274E">
      <w:pPr>
        <w:pStyle w:val="ListParagraph"/>
        <w:rPr>
          <w:szCs w:val="22"/>
        </w:rPr>
      </w:pPr>
    </w:p>
    <w:p w:rsidR="007C02F8" w:rsidRPr="003A274E" w:rsidRDefault="007C02F8" w:rsidP="003A274E">
      <w:pPr>
        <w:pStyle w:val="ListParagraph"/>
        <w:ind w:left="0"/>
        <w:rPr>
          <w:szCs w:val="22"/>
        </w:rPr>
      </w:pPr>
      <w:r w:rsidRPr="003A274E">
        <w:rPr>
          <w:szCs w:val="22"/>
        </w:rPr>
        <w:t xml:space="preserve">All incidents </w:t>
      </w:r>
      <w:r w:rsidR="005F22C7">
        <w:rPr>
          <w:szCs w:val="22"/>
        </w:rPr>
        <w:t xml:space="preserve">continue to be </w:t>
      </w:r>
      <w:r w:rsidRPr="003A274E">
        <w:rPr>
          <w:szCs w:val="22"/>
        </w:rPr>
        <w:t>reviewed on a regular basis by the Manager Resident Care</w:t>
      </w:r>
      <w:r w:rsidR="00E249B6">
        <w:rPr>
          <w:szCs w:val="22"/>
        </w:rPr>
        <w:t xml:space="preserve"> and the mobility team</w:t>
      </w:r>
      <w:r w:rsidRPr="003A274E">
        <w:rPr>
          <w:szCs w:val="22"/>
        </w:rPr>
        <w:t xml:space="preserve"> with prevention</w:t>
      </w:r>
      <w:r w:rsidR="003A274E">
        <w:rPr>
          <w:szCs w:val="22"/>
        </w:rPr>
        <w:t xml:space="preserve"> strategies</w:t>
      </w:r>
      <w:r w:rsidR="005F22C7">
        <w:rPr>
          <w:szCs w:val="22"/>
        </w:rPr>
        <w:t xml:space="preserve"> added to the resident care plans.</w:t>
      </w:r>
      <w:r w:rsidRPr="003A274E">
        <w:rPr>
          <w:szCs w:val="22"/>
        </w:rPr>
        <w:t xml:space="preserve">  </w:t>
      </w:r>
    </w:p>
    <w:p w:rsidR="007C02F8" w:rsidRPr="009400B4" w:rsidRDefault="007C02F8" w:rsidP="007C02F8">
      <w:pPr>
        <w:rPr>
          <w:szCs w:val="22"/>
        </w:rPr>
      </w:pPr>
    </w:p>
    <w:p w:rsidR="00015F41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Medication Errors</w:t>
      </w:r>
      <w:r w:rsidR="006033F1">
        <w:rPr>
          <w:b/>
          <w:szCs w:val="22"/>
        </w:rPr>
        <w:t xml:space="preserve"> </w:t>
      </w:r>
    </w:p>
    <w:p w:rsidR="00B336A1" w:rsidRDefault="00B336A1" w:rsidP="007C02F8">
      <w:pPr>
        <w:rPr>
          <w:b/>
          <w:szCs w:val="22"/>
        </w:rPr>
      </w:pPr>
    </w:p>
    <w:p w:rsidR="00C911BC" w:rsidRDefault="00C911BC" w:rsidP="00D40080">
      <w:pPr>
        <w:rPr>
          <w:rFonts w:ascii="Calibri" w:hAnsi="Calibri" w:cs="ArialNarrow"/>
          <w:szCs w:val="22"/>
        </w:rPr>
      </w:pPr>
      <w:r>
        <w:rPr>
          <w:szCs w:val="22"/>
        </w:rPr>
        <w:t>The number of m</w:t>
      </w:r>
      <w:r w:rsidR="007C02F8">
        <w:rPr>
          <w:szCs w:val="22"/>
        </w:rPr>
        <w:t>edication errors have</w:t>
      </w:r>
      <w:r w:rsidR="007C02F8" w:rsidRPr="009400B4">
        <w:rPr>
          <w:szCs w:val="22"/>
        </w:rPr>
        <w:t xml:space="preserve"> </w:t>
      </w:r>
      <w:r w:rsidR="00B83C00">
        <w:rPr>
          <w:szCs w:val="22"/>
        </w:rPr>
        <w:t>significantly improved and de</w:t>
      </w:r>
      <w:r w:rsidR="00BD0FF7">
        <w:rPr>
          <w:szCs w:val="22"/>
        </w:rPr>
        <w:t xml:space="preserve">creased </w:t>
      </w:r>
      <w:r w:rsidR="005B7123">
        <w:rPr>
          <w:szCs w:val="22"/>
        </w:rPr>
        <w:t xml:space="preserve">this </w:t>
      </w:r>
      <w:r w:rsidR="007C02F8" w:rsidRPr="009400B4">
        <w:rPr>
          <w:szCs w:val="22"/>
        </w:rPr>
        <w:t>quarter</w:t>
      </w:r>
      <w:r w:rsidR="00B83C00">
        <w:rPr>
          <w:szCs w:val="22"/>
        </w:rPr>
        <w:t xml:space="preserve"> from 44 to 21 and slightly increased </w:t>
      </w:r>
      <w:r w:rsidR="00D40080">
        <w:rPr>
          <w:szCs w:val="22"/>
        </w:rPr>
        <w:t xml:space="preserve">when compared </w:t>
      </w:r>
      <w:r>
        <w:rPr>
          <w:szCs w:val="22"/>
        </w:rPr>
        <w:t xml:space="preserve">to </w:t>
      </w:r>
      <w:r w:rsidR="00B336A1">
        <w:rPr>
          <w:szCs w:val="22"/>
        </w:rPr>
        <w:t>the same period of last year</w:t>
      </w:r>
      <w:r w:rsidR="00B83C00">
        <w:rPr>
          <w:szCs w:val="22"/>
        </w:rPr>
        <w:t xml:space="preserve"> (16)</w:t>
      </w:r>
      <w:r w:rsidR="00B336A1">
        <w:rPr>
          <w:szCs w:val="22"/>
        </w:rPr>
        <w:t xml:space="preserve">. </w:t>
      </w:r>
      <w:r>
        <w:rPr>
          <w:rFonts w:ascii="Calibri" w:hAnsi="Calibri" w:cs="ArialNarrow"/>
          <w:szCs w:val="22"/>
        </w:rPr>
        <w:t>The number of incidents per wing: A –</w:t>
      </w:r>
      <w:r w:rsidR="00B83C00">
        <w:rPr>
          <w:rFonts w:ascii="Calibri" w:hAnsi="Calibri" w:cs="ArialNarrow"/>
          <w:szCs w:val="22"/>
        </w:rPr>
        <w:t>4</w:t>
      </w:r>
      <w:r>
        <w:rPr>
          <w:rFonts w:ascii="Calibri" w:hAnsi="Calibri" w:cs="ArialNarrow"/>
          <w:szCs w:val="22"/>
        </w:rPr>
        <w:t xml:space="preserve">, B – </w:t>
      </w:r>
      <w:r w:rsidR="00B83C00">
        <w:rPr>
          <w:rFonts w:ascii="Calibri" w:hAnsi="Calibri" w:cs="ArialNarrow"/>
          <w:szCs w:val="22"/>
        </w:rPr>
        <w:t>9</w:t>
      </w:r>
      <w:r>
        <w:rPr>
          <w:rFonts w:ascii="Calibri" w:hAnsi="Calibri" w:cs="ArialNarrow"/>
          <w:szCs w:val="22"/>
        </w:rPr>
        <w:t xml:space="preserve">, C – </w:t>
      </w:r>
      <w:r w:rsidR="00B83C00">
        <w:rPr>
          <w:rFonts w:ascii="Calibri" w:hAnsi="Calibri" w:cs="ArialNarrow"/>
          <w:szCs w:val="22"/>
        </w:rPr>
        <w:t>2</w:t>
      </w:r>
      <w:r>
        <w:rPr>
          <w:rFonts w:ascii="Calibri" w:hAnsi="Calibri" w:cs="ArialNarrow"/>
          <w:szCs w:val="22"/>
        </w:rPr>
        <w:t xml:space="preserve">, D – </w:t>
      </w:r>
      <w:r w:rsidR="00B83C00">
        <w:rPr>
          <w:rFonts w:ascii="Calibri" w:hAnsi="Calibri" w:cs="ArialNarrow"/>
          <w:szCs w:val="22"/>
        </w:rPr>
        <w:t>1</w:t>
      </w:r>
      <w:r>
        <w:rPr>
          <w:rFonts w:ascii="Calibri" w:hAnsi="Calibri" w:cs="ArialNarrow"/>
          <w:szCs w:val="22"/>
        </w:rPr>
        <w:t xml:space="preserve"> and E – </w:t>
      </w:r>
      <w:r w:rsidR="00B83C00">
        <w:rPr>
          <w:rFonts w:ascii="Calibri" w:hAnsi="Calibri" w:cs="ArialNarrow"/>
          <w:szCs w:val="22"/>
        </w:rPr>
        <w:t>5</w:t>
      </w:r>
      <w:r>
        <w:rPr>
          <w:rFonts w:ascii="Calibri" w:hAnsi="Calibri" w:cs="ArialNarrow"/>
          <w:szCs w:val="22"/>
        </w:rPr>
        <w:t xml:space="preserve">. </w:t>
      </w:r>
    </w:p>
    <w:p w:rsidR="00D40080" w:rsidRDefault="00D40080" w:rsidP="00D40080">
      <w:pPr>
        <w:rPr>
          <w:rFonts w:ascii="Calibri" w:hAnsi="Calibri" w:cs="ArialNarrow"/>
          <w:szCs w:val="22"/>
        </w:rPr>
      </w:pPr>
    </w:p>
    <w:p w:rsidR="00D40080" w:rsidRPr="00936038" w:rsidRDefault="00B83C00" w:rsidP="007C02F8">
      <w:pPr>
        <w:rPr>
          <w:szCs w:val="22"/>
        </w:rPr>
      </w:pPr>
      <w:r w:rsidRPr="00B83C00">
        <w:rPr>
          <w:i/>
          <w:szCs w:val="22"/>
        </w:rPr>
        <w:t>Missed doses</w:t>
      </w:r>
      <w:r>
        <w:rPr>
          <w:szCs w:val="22"/>
        </w:rPr>
        <w:t xml:space="preserve"> accounted for 23.8</w:t>
      </w:r>
      <w:r w:rsidR="00D40080">
        <w:rPr>
          <w:szCs w:val="22"/>
        </w:rPr>
        <w:t>%</w:t>
      </w:r>
      <w:r>
        <w:rPr>
          <w:szCs w:val="22"/>
        </w:rPr>
        <w:t xml:space="preserve"> (5)</w:t>
      </w:r>
      <w:r w:rsidR="00D40080">
        <w:rPr>
          <w:szCs w:val="22"/>
        </w:rPr>
        <w:t xml:space="preserve"> </w:t>
      </w:r>
      <w:r>
        <w:rPr>
          <w:szCs w:val="22"/>
        </w:rPr>
        <w:t>of the med error</w:t>
      </w:r>
      <w:r w:rsidR="004175E1">
        <w:rPr>
          <w:szCs w:val="22"/>
        </w:rPr>
        <w:t>s</w:t>
      </w:r>
      <w:r>
        <w:rPr>
          <w:szCs w:val="22"/>
        </w:rPr>
        <w:t xml:space="preserve">. </w:t>
      </w:r>
      <w:r>
        <w:rPr>
          <w:i/>
          <w:szCs w:val="22"/>
        </w:rPr>
        <w:t>Patches</w:t>
      </w:r>
      <w:r w:rsidR="00D40080" w:rsidRPr="00936038">
        <w:rPr>
          <w:szCs w:val="22"/>
        </w:rPr>
        <w:t xml:space="preserve"> </w:t>
      </w:r>
      <w:r>
        <w:rPr>
          <w:szCs w:val="22"/>
        </w:rPr>
        <w:t xml:space="preserve">(not being removed) accounted for 19% (4) of all med errors and Pharmacy errors accounted for 19% (4 - data entry). </w:t>
      </w:r>
    </w:p>
    <w:p w:rsidR="00D40080" w:rsidRDefault="00D40080" w:rsidP="007C02F8">
      <w:pPr>
        <w:rPr>
          <w:szCs w:val="22"/>
        </w:rPr>
      </w:pPr>
    </w:p>
    <w:p w:rsidR="00B6263D" w:rsidRDefault="004175E1" w:rsidP="007C02F8">
      <w:pPr>
        <w:rPr>
          <w:szCs w:val="22"/>
        </w:rPr>
      </w:pPr>
      <w:r>
        <w:rPr>
          <w:szCs w:val="22"/>
        </w:rPr>
        <w:t xml:space="preserve"> </w:t>
      </w:r>
      <w:r w:rsidR="005B7123">
        <w:rPr>
          <w:szCs w:val="22"/>
        </w:rPr>
        <w:t>All errors are review</w:t>
      </w:r>
      <w:r w:rsidR="00B336A1">
        <w:rPr>
          <w:szCs w:val="22"/>
        </w:rPr>
        <w:t>ed</w:t>
      </w:r>
      <w:r w:rsidR="005B7123">
        <w:rPr>
          <w:szCs w:val="22"/>
        </w:rPr>
        <w:t xml:space="preserve"> with </w:t>
      </w:r>
      <w:r w:rsidR="00B336A1">
        <w:rPr>
          <w:szCs w:val="22"/>
        </w:rPr>
        <w:t xml:space="preserve">the </w:t>
      </w:r>
      <w:r w:rsidR="005B7123">
        <w:rPr>
          <w:szCs w:val="22"/>
        </w:rPr>
        <w:t>staff involved in the errors.  There were no errors resulting in injury to residents</w:t>
      </w:r>
      <w:r w:rsidR="00CD73F5">
        <w:rPr>
          <w:szCs w:val="22"/>
        </w:rPr>
        <w:t>.</w:t>
      </w:r>
    </w:p>
    <w:p w:rsidR="00CD73F5" w:rsidRDefault="00CD73F5" w:rsidP="007C02F8">
      <w:pPr>
        <w:rPr>
          <w:b/>
          <w:szCs w:val="22"/>
        </w:rPr>
      </w:pPr>
    </w:p>
    <w:p w:rsidR="007C02F8" w:rsidRDefault="007C02F8" w:rsidP="007C02F8">
      <w:pPr>
        <w:rPr>
          <w:b/>
          <w:szCs w:val="22"/>
        </w:rPr>
      </w:pPr>
      <w:r w:rsidRPr="009400B4">
        <w:rPr>
          <w:b/>
          <w:szCs w:val="22"/>
        </w:rPr>
        <w:t>Other Incidents</w:t>
      </w:r>
      <w:r w:rsidR="00A3371A">
        <w:rPr>
          <w:b/>
          <w:szCs w:val="22"/>
        </w:rPr>
        <w:t xml:space="preserve"> </w:t>
      </w:r>
    </w:p>
    <w:p w:rsidR="00791873" w:rsidRPr="009400B4" w:rsidRDefault="00791873" w:rsidP="007C02F8">
      <w:pPr>
        <w:rPr>
          <w:b/>
          <w:szCs w:val="22"/>
        </w:rPr>
      </w:pPr>
    </w:p>
    <w:p w:rsidR="007E6268" w:rsidRDefault="000A5242" w:rsidP="002958B0">
      <w:pPr>
        <w:rPr>
          <w:szCs w:val="22"/>
        </w:rPr>
      </w:pPr>
      <w:r>
        <w:rPr>
          <w:szCs w:val="22"/>
        </w:rPr>
        <w:t xml:space="preserve">Of the </w:t>
      </w:r>
      <w:r w:rsidR="006A280E">
        <w:rPr>
          <w:szCs w:val="22"/>
        </w:rPr>
        <w:t>41</w:t>
      </w:r>
      <w:r w:rsidR="00E70EC2">
        <w:rPr>
          <w:szCs w:val="22"/>
        </w:rPr>
        <w:t xml:space="preserve"> incidents classified as other, </w:t>
      </w:r>
      <w:r w:rsidR="006A280E">
        <w:rPr>
          <w:szCs w:val="22"/>
        </w:rPr>
        <w:t>1</w:t>
      </w:r>
      <w:r w:rsidR="00CD73F5">
        <w:rPr>
          <w:szCs w:val="22"/>
        </w:rPr>
        <w:t xml:space="preserve"> choking incidents</w:t>
      </w:r>
      <w:r w:rsidR="00E70EC2">
        <w:rPr>
          <w:szCs w:val="22"/>
        </w:rPr>
        <w:t>,</w:t>
      </w:r>
      <w:r w:rsidR="00CD73F5">
        <w:rPr>
          <w:szCs w:val="22"/>
        </w:rPr>
        <w:t xml:space="preserve"> </w:t>
      </w:r>
      <w:r w:rsidR="00791873">
        <w:rPr>
          <w:szCs w:val="22"/>
        </w:rPr>
        <w:t>2</w:t>
      </w:r>
      <w:r w:rsidR="006A280E">
        <w:rPr>
          <w:szCs w:val="22"/>
        </w:rPr>
        <w:t>0</w:t>
      </w:r>
      <w:r w:rsidR="00BD0FF7">
        <w:rPr>
          <w:szCs w:val="22"/>
        </w:rPr>
        <w:t xml:space="preserve"> were near miss </w:t>
      </w:r>
      <w:r w:rsidR="00E249B6">
        <w:rPr>
          <w:szCs w:val="22"/>
        </w:rPr>
        <w:t>incidents</w:t>
      </w:r>
      <w:r w:rsidR="008D5EA6">
        <w:rPr>
          <w:szCs w:val="22"/>
        </w:rPr>
        <w:t xml:space="preserve">, and </w:t>
      </w:r>
      <w:r w:rsidR="00E70EC2">
        <w:rPr>
          <w:szCs w:val="22"/>
        </w:rPr>
        <w:t>2</w:t>
      </w:r>
      <w:r w:rsidR="006A280E">
        <w:rPr>
          <w:szCs w:val="22"/>
        </w:rPr>
        <w:t>0</w:t>
      </w:r>
      <w:r w:rsidR="008D5EA6">
        <w:rPr>
          <w:szCs w:val="22"/>
        </w:rPr>
        <w:t xml:space="preserve"> other (</w:t>
      </w:r>
      <w:proofErr w:type="spellStart"/>
      <w:r w:rsidR="008D5EA6">
        <w:rPr>
          <w:szCs w:val="22"/>
        </w:rPr>
        <w:t>e</w:t>
      </w:r>
      <w:r w:rsidR="00E70EC2">
        <w:rPr>
          <w:szCs w:val="22"/>
        </w:rPr>
        <w:t>g</w:t>
      </w:r>
      <w:proofErr w:type="spellEnd"/>
      <w:r w:rsidR="008D5EA6">
        <w:rPr>
          <w:szCs w:val="22"/>
        </w:rPr>
        <w:t>.</w:t>
      </w:r>
      <w:r w:rsidR="006A280E">
        <w:rPr>
          <w:szCs w:val="22"/>
        </w:rPr>
        <w:t xml:space="preserve"> Resident ate wrong dessert, ate roommates </w:t>
      </w:r>
      <w:proofErr w:type="spellStart"/>
      <w:r w:rsidR="006A280E">
        <w:rPr>
          <w:szCs w:val="22"/>
        </w:rPr>
        <w:t>cheesies</w:t>
      </w:r>
      <w:proofErr w:type="spellEnd"/>
      <w:r w:rsidR="006A280E">
        <w:rPr>
          <w:szCs w:val="22"/>
        </w:rPr>
        <w:t>, arm stuck in wheelchair, co-resident removing seatbelt of resident, spilled tea, window left open, mechanical lift bar hit residents in head</w:t>
      </w:r>
      <w:r w:rsidR="008D5EA6">
        <w:rPr>
          <w:szCs w:val="22"/>
        </w:rPr>
        <w:t>)</w:t>
      </w:r>
    </w:p>
    <w:p w:rsidR="008B127B" w:rsidRDefault="008B127B" w:rsidP="002958B0">
      <w:pPr>
        <w:rPr>
          <w:szCs w:val="22"/>
        </w:rPr>
      </w:pPr>
    </w:p>
    <w:p w:rsidR="008B127B" w:rsidRDefault="008B127B" w:rsidP="002958B0">
      <w:pPr>
        <w:rPr>
          <w:szCs w:val="22"/>
        </w:rPr>
      </w:pPr>
    </w:p>
    <w:p w:rsidR="008B127B" w:rsidRDefault="008B127B" w:rsidP="002958B0">
      <w:pPr>
        <w:rPr>
          <w:szCs w:val="22"/>
        </w:rPr>
      </w:pPr>
    </w:p>
    <w:p w:rsidR="008B127B" w:rsidRDefault="008B127B" w:rsidP="002958B0">
      <w:pPr>
        <w:rPr>
          <w:szCs w:val="22"/>
        </w:rPr>
      </w:pPr>
    </w:p>
    <w:p w:rsidR="008B127B" w:rsidRDefault="008B127B" w:rsidP="002958B0">
      <w:pPr>
        <w:rPr>
          <w:szCs w:val="22"/>
        </w:rPr>
      </w:pPr>
    </w:p>
    <w:p w:rsidR="008B127B" w:rsidRPr="000A5242" w:rsidRDefault="008B127B" w:rsidP="002958B0">
      <w:pPr>
        <w:rPr>
          <w:szCs w:val="22"/>
        </w:rPr>
      </w:pPr>
    </w:p>
    <w:p w:rsidR="008B5A9E" w:rsidRDefault="008B5A9E" w:rsidP="00D70818">
      <w:pPr>
        <w:rPr>
          <w:b/>
          <w:sz w:val="24"/>
        </w:rPr>
      </w:pPr>
    </w:p>
    <w:p w:rsidR="008B5A9E" w:rsidRDefault="008B5A9E" w:rsidP="00D70818">
      <w:pPr>
        <w:rPr>
          <w:b/>
          <w:sz w:val="24"/>
        </w:rPr>
      </w:pPr>
    </w:p>
    <w:p w:rsidR="004A63A6" w:rsidRDefault="00E964A8" w:rsidP="00D70818">
      <w:pPr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z w:val="24"/>
        </w:rPr>
        <w:tab/>
      </w:r>
      <w:r w:rsidR="00D70818">
        <w:rPr>
          <w:b/>
          <w:sz w:val="24"/>
        </w:rPr>
        <w:t>Shoreham Village</w:t>
      </w:r>
      <w:r w:rsidR="00D70818" w:rsidRPr="008A1497">
        <w:rPr>
          <w:b/>
          <w:sz w:val="24"/>
        </w:rPr>
        <w:t xml:space="preserve"> - Resident</w:t>
      </w:r>
      <w:r w:rsidR="00D70818" w:rsidRPr="008A1497">
        <w:rPr>
          <w:b/>
          <w:bCs/>
          <w:i/>
          <w:iCs/>
          <w:sz w:val="24"/>
        </w:rPr>
        <w:t xml:space="preserve"> </w:t>
      </w:r>
      <w:r w:rsidR="00D70818" w:rsidRPr="008A1497">
        <w:rPr>
          <w:b/>
          <w:sz w:val="24"/>
        </w:rPr>
        <w:t>Infection Report – Q</w:t>
      </w:r>
      <w:r w:rsidR="003141E3">
        <w:rPr>
          <w:b/>
          <w:sz w:val="24"/>
        </w:rPr>
        <w:t>2</w:t>
      </w:r>
      <w:r w:rsidR="008B5A9E">
        <w:rPr>
          <w:b/>
          <w:sz w:val="24"/>
        </w:rPr>
        <w:t xml:space="preserve"> </w:t>
      </w:r>
      <w:r w:rsidR="003141E3">
        <w:rPr>
          <w:b/>
          <w:sz w:val="24"/>
        </w:rPr>
        <w:t>July</w:t>
      </w:r>
      <w:r w:rsidR="008B5A9E">
        <w:rPr>
          <w:b/>
          <w:sz w:val="24"/>
        </w:rPr>
        <w:t xml:space="preserve"> </w:t>
      </w:r>
      <w:r w:rsidR="002802F2" w:rsidRPr="002802F2">
        <w:rPr>
          <w:b/>
        </w:rPr>
        <w:t xml:space="preserve">- </w:t>
      </w:r>
      <w:r w:rsidR="002A3CF7">
        <w:rPr>
          <w:b/>
        </w:rPr>
        <w:t xml:space="preserve">September </w:t>
      </w:r>
      <w:r w:rsidR="00D865FD">
        <w:rPr>
          <w:b/>
        </w:rPr>
        <w:t>2021/22</w:t>
      </w:r>
    </w:p>
    <w:p w:rsidR="00E964A8" w:rsidRPr="008A1497" w:rsidRDefault="00E964A8" w:rsidP="00D70818">
      <w:pPr>
        <w:rPr>
          <w:b/>
          <w:sz w:val="24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355"/>
        <w:gridCol w:w="1480"/>
        <w:gridCol w:w="1480"/>
        <w:gridCol w:w="1480"/>
        <w:gridCol w:w="1390"/>
        <w:gridCol w:w="1390"/>
      </w:tblGrid>
      <w:tr w:rsidR="002A3CF7" w:rsidTr="005B5C4A">
        <w:tc>
          <w:tcPr>
            <w:tcW w:w="2355" w:type="dxa"/>
          </w:tcPr>
          <w:p w:rsidR="002A3CF7" w:rsidRPr="00F05E23" w:rsidRDefault="002A3CF7" w:rsidP="00AC4680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lastRenderedPageBreak/>
              <w:t>Total # of In</w:t>
            </w:r>
            <w:r>
              <w:rPr>
                <w:rFonts w:ascii="Calibri" w:hAnsi="Calibri"/>
                <w:b/>
                <w:bCs/>
                <w:color w:val="000000"/>
              </w:rPr>
              <w:t>fections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 xml:space="preserve"> Per Quarter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2A3CF7" w:rsidRDefault="002A3CF7" w:rsidP="009F061E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336B2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  <w:p w:rsidR="002A3CF7" w:rsidRPr="008E070D" w:rsidRDefault="00D865FD" w:rsidP="009F061E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480" w:type="dxa"/>
          </w:tcPr>
          <w:p w:rsidR="002A3CF7" w:rsidRDefault="002A3CF7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2A3CF7" w:rsidRPr="008E070D" w:rsidRDefault="00D865FD" w:rsidP="002A3CF7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80" w:type="dxa"/>
          </w:tcPr>
          <w:p w:rsidR="002A3CF7" w:rsidRDefault="002A3CF7" w:rsidP="002A3CF7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2A3CF7" w:rsidRPr="008E070D" w:rsidRDefault="00D865FD" w:rsidP="002A3CF7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2A3CF7" w:rsidRPr="008E070D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2A3CF7" w:rsidRDefault="002A3CF7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2A3CF7" w:rsidRDefault="00D865FD" w:rsidP="002A3CF7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>Respiratory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34068" w:rsidP="00A53D0F">
            <w:pPr>
              <w:jc w:val="center"/>
            </w:pPr>
            <w:r>
              <w:t>3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0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A53D0F" w:rsidRDefault="00B96435" w:rsidP="00A53D0F">
            <w:pPr>
              <w:jc w:val="center"/>
            </w:pPr>
            <w:r>
              <w:t>64*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Urinary Tract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34068" w:rsidP="00A53D0F">
            <w:pPr>
              <w:jc w:val="center"/>
            </w:pPr>
            <w:r>
              <w:t>5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4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6</w:t>
            </w:r>
          </w:p>
        </w:tc>
        <w:tc>
          <w:tcPr>
            <w:tcW w:w="1390" w:type="dxa"/>
          </w:tcPr>
          <w:p w:rsidR="00A53D0F" w:rsidRDefault="00B96435" w:rsidP="00A53D0F">
            <w:pPr>
              <w:jc w:val="center"/>
            </w:pPr>
            <w:r>
              <w:t>2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Skin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34068" w:rsidP="00A53D0F">
            <w:pPr>
              <w:jc w:val="center"/>
            </w:pPr>
            <w:r>
              <w:t>8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A53D0F" w:rsidRDefault="00B96435" w:rsidP="00A53D0F">
            <w:pPr>
              <w:jc w:val="center"/>
            </w:pPr>
            <w:r>
              <w:t>2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Gastrointestinal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34068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0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A53D0F" w:rsidRDefault="00EC3AE7" w:rsidP="00A53D0F">
            <w:pPr>
              <w:jc w:val="center"/>
            </w:pPr>
            <w:r>
              <w:t>0</w:t>
            </w:r>
          </w:p>
        </w:tc>
        <w:tc>
          <w:tcPr>
            <w:tcW w:w="1390" w:type="dxa"/>
          </w:tcPr>
          <w:p w:rsidR="00A53D0F" w:rsidRDefault="00B96435" w:rsidP="00A53D0F">
            <w:pPr>
              <w:jc w:val="center"/>
            </w:pPr>
            <w:r>
              <w:t>0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>Other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34068" w:rsidP="00A53D0F">
            <w:pPr>
              <w:jc w:val="center"/>
            </w:pPr>
            <w:r>
              <w:t>1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2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3</w:t>
            </w:r>
          </w:p>
        </w:tc>
        <w:tc>
          <w:tcPr>
            <w:tcW w:w="1390" w:type="dxa"/>
          </w:tcPr>
          <w:p w:rsidR="00A53D0F" w:rsidRDefault="00EC3AE7" w:rsidP="00A53D0F">
            <w:pPr>
              <w:jc w:val="center"/>
            </w:pPr>
            <w:r>
              <w:t>0</w:t>
            </w:r>
          </w:p>
        </w:tc>
        <w:tc>
          <w:tcPr>
            <w:tcW w:w="1390" w:type="dxa"/>
          </w:tcPr>
          <w:p w:rsidR="00A53D0F" w:rsidRDefault="00B96435" w:rsidP="00A53D0F">
            <w:pPr>
              <w:jc w:val="center"/>
            </w:pPr>
            <w:r>
              <w:t>3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/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Total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34068" w:rsidP="00A53D0F">
            <w:pPr>
              <w:jc w:val="center"/>
            </w:pPr>
            <w:r>
              <w:t>17</w:t>
            </w: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  <w:r>
              <w:t>11</w:t>
            </w:r>
          </w:p>
        </w:tc>
        <w:tc>
          <w:tcPr>
            <w:tcW w:w="1480" w:type="dxa"/>
          </w:tcPr>
          <w:p w:rsidR="00A53D0F" w:rsidRDefault="006651F3" w:rsidP="00A53D0F">
            <w:pPr>
              <w:jc w:val="center"/>
            </w:pPr>
            <w:r>
              <w:t>10</w:t>
            </w:r>
          </w:p>
        </w:tc>
        <w:tc>
          <w:tcPr>
            <w:tcW w:w="1390" w:type="dxa"/>
          </w:tcPr>
          <w:p w:rsidR="00A53D0F" w:rsidRDefault="00BB5A73" w:rsidP="00A53D0F">
            <w:pPr>
              <w:jc w:val="center"/>
            </w:pPr>
            <w:r>
              <w:t>9</w:t>
            </w:r>
          </w:p>
        </w:tc>
        <w:tc>
          <w:tcPr>
            <w:tcW w:w="1390" w:type="dxa"/>
          </w:tcPr>
          <w:p w:rsidR="00A53D0F" w:rsidRDefault="00B96435" w:rsidP="00A53D0F">
            <w:pPr>
              <w:jc w:val="center"/>
            </w:pPr>
            <w:r>
              <w:t>71</w:t>
            </w:r>
          </w:p>
        </w:tc>
      </w:tr>
      <w:tr w:rsidR="00506351" w:rsidTr="005B5C4A">
        <w:tc>
          <w:tcPr>
            <w:tcW w:w="8185" w:type="dxa"/>
            <w:gridSpan w:val="5"/>
            <w:shd w:val="clear" w:color="auto" w:fill="BFBFBF" w:themeFill="background1" w:themeFillShade="BF"/>
          </w:tcPr>
          <w:p w:rsidR="00506351" w:rsidRDefault="00506351" w:rsidP="00506351">
            <w:pPr>
              <w:jc w:val="center"/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:rsidR="00506351" w:rsidRDefault="00506351" w:rsidP="00506351">
            <w:pPr>
              <w:jc w:val="center"/>
            </w:pPr>
          </w:p>
        </w:tc>
      </w:tr>
      <w:tr w:rsidR="00506351" w:rsidTr="005B5C4A">
        <w:tc>
          <w:tcPr>
            <w:tcW w:w="2355" w:type="dxa"/>
          </w:tcPr>
          <w:p w:rsidR="00506351" w:rsidRPr="00F05E23" w:rsidRDefault="00506351" w:rsidP="00506351">
            <w:pPr>
              <w:rPr>
                <w:rFonts w:ascii="Calibri" w:hAnsi="Calibri"/>
                <w:b/>
                <w:bCs/>
                <w:color w:val="000000"/>
              </w:rPr>
            </w:pPr>
            <w:r w:rsidRPr="00F05E23">
              <w:rPr>
                <w:rFonts w:ascii="Calibri" w:hAnsi="Calibri"/>
                <w:b/>
                <w:bCs/>
                <w:color w:val="000000"/>
              </w:rPr>
              <w:t>Incident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Rate </w:t>
            </w:r>
            <w:r w:rsidRPr="00F05E23">
              <w:rPr>
                <w:rFonts w:ascii="Calibri" w:hAnsi="Calibri"/>
                <w:b/>
                <w:bCs/>
                <w:color w:val="000000"/>
              </w:rPr>
              <w:t>Per 1000 Resident Days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506351" w:rsidRPr="009F061E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F061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</w:t>
            </w:r>
            <w:r w:rsidR="00336B2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  <w:p w:rsidR="00506351" w:rsidRPr="008E070D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2020/21</w:t>
            </w:r>
          </w:p>
        </w:tc>
        <w:tc>
          <w:tcPr>
            <w:tcW w:w="1480" w:type="dxa"/>
          </w:tcPr>
          <w:p w:rsidR="00506351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Q1</w:t>
            </w:r>
          </w:p>
          <w:p w:rsidR="00506351" w:rsidRPr="008E070D" w:rsidRDefault="00506351" w:rsidP="00506351">
            <w:pPr>
              <w:ind w:right="158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480" w:type="dxa"/>
          </w:tcPr>
          <w:p w:rsidR="00506351" w:rsidRDefault="00506351" w:rsidP="00506351">
            <w:pPr>
              <w:ind w:left="-108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E070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Q2</w:t>
            </w:r>
          </w:p>
          <w:p w:rsidR="00506351" w:rsidRPr="008E070D" w:rsidRDefault="00506351" w:rsidP="00506351">
            <w:pPr>
              <w:ind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Q3</w:t>
            </w:r>
          </w:p>
          <w:p w:rsidR="00506351" w:rsidRPr="008E070D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  <w:tc>
          <w:tcPr>
            <w:tcW w:w="1390" w:type="dxa"/>
          </w:tcPr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Q4</w:t>
            </w:r>
          </w:p>
          <w:p w:rsidR="00506351" w:rsidRDefault="00506351" w:rsidP="00506351">
            <w:pPr>
              <w:ind w:left="-3" w:right="16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2021/22</w:t>
            </w: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>Respiratory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5C792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0.40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0.64</w:t>
            </w:r>
          </w:p>
        </w:tc>
        <w:tc>
          <w:tcPr>
            <w:tcW w:w="1480" w:type="dxa"/>
          </w:tcPr>
          <w:p w:rsidR="00A53D0F" w:rsidRPr="00FB190F" w:rsidRDefault="00C532F8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390" w:type="dxa"/>
          </w:tcPr>
          <w:p w:rsidR="00A53D0F" w:rsidRDefault="00BB5A73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0.12</w:t>
            </w:r>
          </w:p>
        </w:tc>
        <w:tc>
          <w:tcPr>
            <w:tcW w:w="1390" w:type="dxa"/>
          </w:tcPr>
          <w:p w:rsidR="00A53D0F" w:rsidRDefault="00B96435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8.77</w:t>
            </w: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Urinary Tract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5C792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0.68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0.64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.52</w:t>
            </w:r>
          </w:p>
        </w:tc>
        <w:tc>
          <w:tcPr>
            <w:tcW w:w="1390" w:type="dxa"/>
          </w:tcPr>
          <w:p w:rsidR="00A53D0F" w:rsidRDefault="00BB5A73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0.77</w:t>
            </w:r>
          </w:p>
        </w:tc>
        <w:tc>
          <w:tcPr>
            <w:tcW w:w="1390" w:type="dxa"/>
          </w:tcPr>
          <w:p w:rsidR="00A53D0F" w:rsidRDefault="00B96435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0.27</w:t>
            </w: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Skin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5C792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1.09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1.28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.26</w:t>
            </w:r>
          </w:p>
        </w:tc>
        <w:tc>
          <w:tcPr>
            <w:tcW w:w="1390" w:type="dxa"/>
          </w:tcPr>
          <w:p w:rsidR="00A53D0F" w:rsidRDefault="00F12944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0.26</w:t>
            </w:r>
          </w:p>
        </w:tc>
        <w:tc>
          <w:tcPr>
            <w:tcW w:w="1390" w:type="dxa"/>
          </w:tcPr>
          <w:p w:rsidR="00A53D0F" w:rsidRDefault="00B96435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0.27</w:t>
            </w: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 xml:space="preserve">Gastrointestinal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Pr="00FB190F" w:rsidRDefault="005C7920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480" w:type="dxa"/>
            <w:vAlign w:val="bottom"/>
          </w:tcPr>
          <w:p w:rsidR="00A53D0F" w:rsidRPr="00FB190F" w:rsidRDefault="00A53D0F" w:rsidP="00A53D0F">
            <w:pPr>
              <w:ind w:left="-108" w:right="-33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0.00</w:t>
            </w:r>
          </w:p>
        </w:tc>
        <w:tc>
          <w:tcPr>
            <w:tcW w:w="1480" w:type="dxa"/>
          </w:tcPr>
          <w:p w:rsidR="00A53D0F" w:rsidRPr="00FB190F" w:rsidRDefault="00B20879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.13</w:t>
            </w:r>
          </w:p>
        </w:tc>
        <w:tc>
          <w:tcPr>
            <w:tcW w:w="1390" w:type="dxa"/>
          </w:tcPr>
          <w:p w:rsidR="00A53D0F" w:rsidRDefault="00EC3AE7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  <w:tc>
          <w:tcPr>
            <w:tcW w:w="1390" w:type="dxa"/>
          </w:tcPr>
          <w:p w:rsidR="00A53D0F" w:rsidRDefault="00EC3AE7" w:rsidP="00A53D0F">
            <w:pPr>
              <w:ind w:left="-108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0</w:t>
            </w:r>
          </w:p>
        </w:tc>
      </w:tr>
      <w:tr w:rsidR="00A53D0F" w:rsidTr="002A3CF7">
        <w:tc>
          <w:tcPr>
            <w:tcW w:w="2355" w:type="dxa"/>
          </w:tcPr>
          <w:p w:rsidR="00A53D0F" w:rsidRDefault="00A53D0F" w:rsidP="00A53D0F">
            <w:r>
              <w:t>Other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5C7920" w:rsidP="00A53D0F">
            <w:pPr>
              <w:ind w:left="-108"/>
              <w:jc w:val="center"/>
            </w:pPr>
            <w:r>
              <w:t>0.14</w:t>
            </w:r>
          </w:p>
        </w:tc>
        <w:tc>
          <w:tcPr>
            <w:tcW w:w="1480" w:type="dxa"/>
          </w:tcPr>
          <w:p w:rsidR="00A53D0F" w:rsidRDefault="00A53D0F" w:rsidP="00A53D0F">
            <w:pPr>
              <w:ind w:left="-120" w:right="-33"/>
              <w:jc w:val="center"/>
            </w:pPr>
            <w:r>
              <w:t>0.26</w:t>
            </w:r>
          </w:p>
        </w:tc>
        <w:tc>
          <w:tcPr>
            <w:tcW w:w="1480" w:type="dxa"/>
          </w:tcPr>
          <w:p w:rsidR="00A53D0F" w:rsidRDefault="00B20879" w:rsidP="00A53D0F">
            <w:pPr>
              <w:ind w:left="-108"/>
              <w:jc w:val="center"/>
            </w:pPr>
            <w:r>
              <w:t>.39</w:t>
            </w:r>
          </w:p>
        </w:tc>
        <w:tc>
          <w:tcPr>
            <w:tcW w:w="1390" w:type="dxa"/>
          </w:tcPr>
          <w:p w:rsidR="00A53D0F" w:rsidRDefault="00EC3AE7" w:rsidP="00A53D0F">
            <w:pPr>
              <w:ind w:left="-108"/>
              <w:jc w:val="center"/>
            </w:pPr>
            <w:r>
              <w:t>0</w:t>
            </w:r>
          </w:p>
        </w:tc>
        <w:tc>
          <w:tcPr>
            <w:tcW w:w="1390" w:type="dxa"/>
          </w:tcPr>
          <w:p w:rsidR="00A53D0F" w:rsidRDefault="00B96435" w:rsidP="00A53D0F">
            <w:pPr>
              <w:ind w:left="-108"/>
              <w:jc w:val="center"/>
            </w:pPr>
            <w:r>
              <w:t>0.41</w:t>
            </w:r>
          </w:p>
        </w:tc>
      </w:tr>
      <w:tr w:rsidR="00A53D0F" w:rsidTr="005B5C4A">
        <w:tc>
          <w:tcPr>
            <w:tcW w:w="2355" w:type="dxa"/>
          </w:tcPr>
          <w:p w:rsidR="00A53D0F" w:rsidRDefault="00A53D0F" w:rsidP="00A53D0F"/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48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  <w:tc>
          <w:tcPr>
            <w:tcW w:w="1390" w:type="dxa"/>
          </w:tcPr>
          <w:p w:rsidR="00A53D0F" w:rsidRDefault="00A53D0F" w:rsidP="00A53D0F">
            <w:pPr>
              <w:jc w:val="center"/>
            </w:pPr>
          </w:p>
        </w:tc>
      </w:tr>
      <w:tr w:rsidR="00A53D0F" w:rsidTr="005B5C4A">
        <w:tc>
          <w:tcPr>
            <w:tcW w:w="2355" w:type="dxa"/>
          </w:tcPr>
          <w:p w:rsidR="00A53D0F" w:rsidRDefault="00A53D0F" w:rsidP="00A53D0F">
            <w:r>
              <w:t xml:space="preserve">Total </w:t>
            </w:r>
          </w:p>
        </w:tc>
        <w:tc>
          <w:tcPr>
            <w:tcW w:w="1480" w:type="dxa"/>
            <w:shd w:val="clear" w:color="auto" w:fill="D9D9D9" w:themeFill="background1" w:themeFillShade="D9"/>
          </w:tcPr>
          <w:p w:rsidR="00A53D0F" w:rsidRDefault="005C7920" w:rsidP="00A53D0F">
            <w:pPr>
              <w:ind w:left="-108"/>
              <w:jc w:val="center"/>
            </w:pPr>
            <w:r>
              <w:t>2.31</w:t>
            </w:r>
          </w:p>
        </w:tc>
        <w:tc>
          <w:tcPr>
            <w:tcW w:w="1480" w:type="dxa"/>
          </w:tcPr>
          <w:p w:rsidR="00A53D0F" w:rsidRDefault="00A53D0F" w:rsidP="00A53D0F">
            <w:pPr>
              <w:ind w:left="-108"/>
              <w:jc w:val="center"/>
            </w:pPr>
            <w:r>
              <w:t>2.82</w:t>
            </w:r>
          </w:p>
        </w:tc>
        <w:tc>
          <w:tcPr>
            <w:tcW w:w="1480" w:type="dxa"/>
          </w:tcPr>
          <w:p w:rsidR="00A53D0F" w:rsidRDefault="00B20879" w:rsidP="00A53D0F">
            <w:pPr>
              <w:ind w:left="-108"/>
              <w:jc w:val="center"/>
            </w:pPr>
            <w:r>
              <w:t>1.29</w:t>
            </w:r>
          </w:p>
        </w:tc>
        <w:tc>
          <w:tcPr>
            <w:tcW w:w="1390" w:type="dxa"/>
          </w:tcPr>
          <w:p w:rsidR="00A53D0F" w:rsidRDefault="00F12944" w:rsidP="00A53D0F">
            <w:pPr>
              <w:ind w:left="-108"/>
              <w:jc w:val="center"/>
            </w:pPr>
            <w:r>
              <w:t>1.14</w:t>
            </w:r>
          </w:p>
        </w:tc>
        <w:tc>
          <w:tcPr>
            <w:tcW w:w="1390" w:type="dxa"/>
          </w:tcPr>
          <w:p w:rsidR="00A53D0F" w:rsidRDefault="00B96435" w:rsidP="00A53D0F">
            <w:pPr>
              <w:ind w:left="-108"/>
              <w:jc w:val="center"/>
            </w:pPr>
            <w:r>
              <w:t>9.72</w:t>
            </w:r>
          </w:p>
        </w:tc>
      </w:tr>
    </w:tbl>
    <w:p w:rsidR="00D70818" w:rsidRDefault="00B96435" w:rsidP="00B96435">
      <w:r>
        <w:t>*61 are COVID infections</w:t>
      </w:r>
    </w:p>
    <w:p w:rsidR="00E964A8" w:rsidRDefault="00E964A8" w:rsidP="00D70818"/>
    <w:p w:rsidR="00D70818" w:rsidRDefault="00E964A8" w:rsidP="00D70818">
      <w:r w:rsidRPr="00E964A8">
        <w:rPr>
          <w:noProof/>
          <w:bdr w:val="single" w:sz="6" w:space="0" w:color="auto"/>
          <w:lang w:val="en-CA" w:eastAsia="en-CA"/>
        </w:rPr>
        <w:drawing>
          <wp:inline distT="0" distB="0" distL="0" distR="0">
            <wp:extent cx="6099810" cy="3135085"/>
            <wp:effectExtent l="0" t="0" r="1524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818" w:rsidRDefault="00D70818" w:rsidP="00D70818"/>
    <w:p w:rsidR="00D70818" w:rsidRDefault="00D70818" w:rsidP="00D70818"/>
    <w:p w:rsidR="00D70818" w:rsidRDefault="00D70818" w:rsidP="00D70818">
      <w:r>
        <w:rPr>
          <w:noProof/>
          <w:lang w:val="en-CA" w:eastAsia="en-CA"/>
        </w:rPr>
        <w:lastRenderedPageBreak/>
        <w:drawing>
          <wp:inline distT="0" distB="0" distL="0" distR="0">
            <wp:extent cx="6112873" cy="3317875"/>
            <wp:effectExtent l="0" t="0" r="2540" b="1587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0818" w:rsidRDefault="00D70818" w:rsidP="00D70818"/>
    <w:p w:rsidR="00D70818" w:rsidRDefault="00D70818" w:rsidP="00D70818">
      <w:pPr>
        <w:rPr>
          <w:b/>
        </w:rPr>
      </w:pPr>
      <w:r w:rsidRPr="00A72ADF">
        <w:rPr>
          <w:b/>
        </w:rPr>
        <w:t>Comments:</w:t>
      </w:r>
    </w:p>
    <w:p w:rsidR="00D70818" w:rsidRPr="00BD20D8" w:rsidRDefault="00D70818" w:rsidP="00D70818">
      <w:pPr>
        <w:rPr>
          <w:b/>
          <w:sz w:val="16"/>
          <w:szCs w:val="16"/>
        </w:rPr>
      </w:pPr>
    </w:p>
    <w:p w:rsidR="002673C2" w:rsidRDefault="002673C2" w:rsidP="00D70818"/>
    <w:p w:rsidR="00D36E35" w:rsidRPr="00D36E35" w:rsidRDefault="00824EE2" w:rsidP="00D70818">
      <w:r>
        <w:t>The tota</w:t>
      </w:r>
      <w:r w:rsidR="000844CD">
        <w:t xml:space="preserve">l </w:t>
      </w:r>
      <w:r w:rsidR="00B96435">
        <w:t>number of infections for the 4th</w:t>
      </w:r>
      <w:r>
        <w:t xml:space="preserve"> quarter </w:t>
      </w:r>
      <w:r w:rsidR="00F92D1D">
        <w:t>(</w:t>
      </w:r>
      <w:r w:rsidR="00B96435">
        <w:t>71</w:t>
      </w:r>
      <w:r w:rsidR="00F92D1D">
        <w:t>)</w:t>
      </w:r>
      <w:r w:rsidR="001253A1">
        <w:t xml:space="preserve"> shows a</w:t>
      </w:r>
      <w:r w:rsidR="00C532F8">
        <w:t xml:space="preserve"> </w:t>
      </w:r>
      <w:r w:rsidR="00B96435">
        <w:t xml:space="preserve">significant increase </w:t>
      </w:r>
      <w:r w:rsidR="00990981">
        <w:t xml:space="preserve">over </w:t>
      </w:r>
      <w:r w:rsidR="007552D3">
        <w:t>the last quarter</w:t>
      </w:r>
      <w:r w:rsidR="00B96435">
        <w:t xml:space="preserve"> (9</w:t>
      </w:r>
      <w:r w:rsidR="007552D3">
        <w:t xml:space="preserve">) and </w:t>
      </w:r>
      <w:r w:rsidR="00990981">
        <w:t>the</w:t>
      </w:r>
      <w:r w:rsidR="002673C2">
        <w:t xml:space="preserve"> same period of last year at </w:t>
      </w:r>
      <w:r w:rsidR="00F92D1D">
        <w:t>(</w:t>
      </w:r>
      <w:r w:rsidR="00B96435">
        <w:t>17</w:t>
      </w:r>
      <w:r w:rsidR="00F92D1D">
        <w:t>)</w:t>
      </w:r>
      <w:r w:rsidR="00B96435">
        <w:t xml:space="preserve"> and this is due to the COVID outbreak which began in January seeing 61 residents infected. </w:t>
      </w:r>
    </w:p>
    <w:p w:rsidR="00D36E35" w:rsidRDefault="00D36E35" w:rsidP="00D70818">
      <w:pPr>
        <w:rPr>
          <w:b/>
        </w:rPr>
      </w:pPr>
    </w:p>
    <w:p w:rsidR="00A335D1" w:rsidRDefault="00D70818" w:rsidP="00D70818">
      <w:pPr>
        <w:rPr>
          <w:b/>
        </w:rPr>
      </w:pPr>
      <w:r>
        <w:rPr>
          <w:b/>
        </w:rPr>
        <w:t>Respiratory Infections</w:t>
      </w:r>
      <w:r w:rsidR="008D5EA6">
        <w:rPr>
          <w:b/>
        </w:rPr>
        <w:t xml:space="preserve"> </w:t>
      </w:r>
    </w:p>
    <w:p w:rsidR="00B96435" w:rsidRDefault="00B96435" w:rsidP="00D70818">
      <w:pPr>
        <w:rPr>
          <w:b/>
        </w:rPr>
      </w:pPr>
    </w:p>
    <w:p w:rsidR="00DA152B" w:rsidRDefault="00B96435" w:rsidP="00D70818">
      <w:r>
        <w:t>Aside from the 61 COVID infections t</w:t>
      </w:r>
      <w:r w:rsidR="00D70818">
        <w:t>he</w:t>
      </w:r>
      <w:r>
        <w:t xml:space="preserve">re were 3 other </w:t>
      </w:r>
      <w:r w:rsidR="008A3793">
        <w:t>respiratory infections</w:t>
      </w:r>
      <w:r w:rsidR="00C532F8">
        <w:t xml:space="preserve"> this quarter, </w:t>
      </w:r>
      <w:r w:rsidR="008537FE">
        <w:t>a</w:t>
      </w:r>
      <w:r>
        <w:t>n</w:t>
      </w:r>
      <w:r w:rsidR="00F12944">
        <w:t xml:space="preserve"> increase </w:t>
      </w:r>
      <w:r w:rsidR="00C532F8">
        <w:t xml:space="preserve">from </w:t>
      </w:r>
      <w:r>
        <w:t>the 2nd quarter (1</w:t>
      </w:r>
      <w:r w:rsidR="007552D3">
        <w:t xml:space="preserve">) and </w:t>
      </w:r>
      <w:r>
        <w:t>the same</w:t>
      </w:r>
      <w:r w:rsidR="00F12944">
        <w:t xml:space="preserve"> from </w:t>
      </w:r>
      <w:r w:rsidR="00C532F8">
        <w:t>the same period of last year</w:t>
      </w:r>
      <w:r w:rsidR="007552D3">
        <w:t xml:space="preserve"> (</w:t>
      </w:r>
      <w:r>
        <w:t>3</w:t>
      </w:r>
      <w:r w:rsidR="007552D3">
        <w:t>)</w:t>
      </w:r>
      <w:r w:rsidR="00F12944">
        <w:t xml:space="preserve">. </w:t>
      </w:r>
    </w:p>
    <w:p w:rsidR="00A82FB4" w:rsidRDefault="00A82FB4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Urinary Tract Infections</w:t>
      </w:r>
    </w:p>
    <w:p w:rsidR="008A4D31" w:rsidRDefault="00D70818" w:rsidP="00D70818">
      <w:r>
        <w:t>The number of re</w:t>
      </w:r>
      <w:r w:rsidR="00470322">
        <w:t>ported Urinary Tract Infections (</w:t>
      </w:r>
      <w:r w:rsidR="00B96435">
        <w:t>2</w:t>
      </w:r>
      <w:r w:rsidR="00470322">
        <w:t xml:space="preserve">) </w:t>
      </w:r>
      <w:r w:rsidR="00B96435">
        <w:t>de</w:t>
      </w:r>
      <w:r w:rsidR="008537FE">
        <w:t>creased</w:t>
      </w:r>
      <w:r w:rsidR="00DA152B">
        <w:t xml:space="preserve"> from</w:t>
      </w:r>
      <w:r w:rsidR="008A4D31">
        <w:t xml:space="preserve"> the last </w:t>
      </w:r>
      <w:r w:rsidR="00B96435">
        <w:t>year (5) and the 3rd</w:t>
      </w:r>
      <w:r w:rsidR="00A55223">
        <w:t xml:space="preserve"> q</w:t>
      </w:r>
      <w:r w:rsidR="008A4D31">
        <w:t>uarter</w:t>
      </w:r>
      <w:r w:rsidR="00470322">
        <w:t xml:space="preserve"> (</w:t>
      </w:r>
      <w:r w:rsidR="00B96435">
        <w:t>6</w:t>
      </w:r>
      <w:r w:rsidR="00470322">
        <w:t>)</w:t>
      </w:r>
      <w:r w:rsidR="00DA152B">
        <w:t>.</w:t>
      </w:r>
      <w:r w:rsidR="0019297B">
        <w:t xml:space="preserve"> </w:t>
      </w:r>
    </w:p>
    <w:p w:rsidR="00A55223" w:rsidRDefault="00A55223" w:rsidP="00D70818">
      <w:r>
        <w:t>All residents were treated in house and symptoms resolved.</w:t>
      </w:r>
    </w:p>
    <w:p w:rsidR="00DA152B" w:rsidRDefault="00DA152B" w:rsidP="00D70818"/>
    <w:p w:rsidR="00D70818" w:rsidRDefault="00D70818" w:rsidP="00D70818">
      <w:pPr>
        <w:rPr>
          <w:b/>
        </w:rPr>
      </w:pPr>
      <w:r w:rsidRPr="00610D47">
        <w:rPr>
          <w:b/>
        </w:rPr>
        <w:t>Skin Infections</w:t>
      </w:r>
    </w:p>
    <w:p w:rsidR="007A32CB" w:rsidRDefault="00D70818" w:rsidP="00D70818">
      <w:r>
        <w:t>The</w:t>
      </w:r>
      <w:r w:rsidR="00A55223">
        <w:t xml:space="preserve"> number of skin infections (2) have</w:t>
      </w:r>
      <w:r w:rsidR="00F12944">
        <w:t xml:space="preserve"> remained the same</w:t>
      </w:r>
      <w:r w:rsidR="00A55223">
        <w:t xml:space="preserve"> </w:t>
      </w:r>
      <w:r w:rsidR="007A32CB">
        <w:t xml:space="preserve">from the last quarter </w:t>
      </w:r>
      <w:r w:rsidR="00F12944">
        <w:t>and</w:t>
      </w:r>
      <w:r w:rsidR="00B96435">
        <w:t xml:space="preserve"> decreased</w:t>
      </w:r>
      <w:r w:rsidR="00F12944">
        <w:t xml:space="preserve"> </w:t>
      </w:r>
      <w:r w:rsidR="007552D3">
        <w:t xml:space="preserve">from </w:t>
      </w:r>
      <w:r w:rsidR="00F12944">
        <w:t>the same period of last year</w:t>
      </w:r>
      <w:r w:rsidR="00B96435">
        <w:t xml:space="preserve"> (8)</w:t>
      </w:r>
      <w:r w:rsidR="00F12944">
        <w:t>.</w:t>
      </w:r>
    </w:p>
    <w:p w:rsidR="00A55223" w:rsidRDefault="00A55223" w:rsidP="00D70818"/>
    <w:p w:rsidR="00D70818" w:rsidRPr="00610D47" w:rsidRDefault="00D70818" w:rsidP="00D70818">
      <w:pPr>
        <w:rPr>
          <w:b/>
        </w:rPr>
      </w:pPr>
      <w:r w:rsidRPr="00610D47">
        <w:rPr>
          <w:b/>
        </w:rPr>
        <w:t>Gastrointestinal Infections</w:t>
      </w:r>
    </w:p>
    <w:p w:rsidR="00D70818" w:rsidRDefault="008537FE" w:rsidP="00D70818">
      <w:r>
        <w:t xml:space="preserve">There was </w:t>
      </w:r>
      <w:r w:rsidR="00F12944">
        <w:t>0</w:t>
      </w:r>
      <w:r>
        <w:t xml:space="preserve"> gastrointestinal infection</w:t>
      </w:r>
      <w:r w:rsidR="00EB2216">
        <w:t>.</w:t>
      </w:r>
      <w:r w:rsidR="00F12944">
        <w:t xml:space="preserve"> </w:t>
      </w:r>
    </w:p>
    <w:p w:rsidR="00D70818" w:rsidRDefault="00D70818" w:rsidP="00D70818"/>
    <w:p w:rsidR="00D70818" w:rsidRDefault="00D70818" w:rsidP="00D70818">
      <w:pPr>
        <w:rPr>
          <w:b/>
        </w:rPr>
      </w:pPr>
      <w:r w:rsidRPr="002D112C">
        <w:rPr>
          <w:b/>
        </w:rPr>
        <w:t>Other Infections</w:t>
      </w:r>
      <w:r>
        <w:rPr>
          <w:b/>
        </w:rPr>
        <w:t xml:space="preserve"> (eye, genitourinary, ear, oral)</w:t>
      </w:r>
    </w:p>
    <w:p w:rsidR="00D70818" w:rsidRDefault="00D70818" w:rsidP="00D70818">
      <w:r>
        <w:t>The</w:t>
      </w:r>
      <w:r w:rsidR="00F12944">
        <w:t>re</w:t>
      </w:r>
      <w:r>
        <w:t xml:space="preserve"> </w:t>
      </w:r>
      <w:r w:rsidR="00B96435">
        <w:t>were 3</w:t>
      </w:r>
      <w:r w:rsidR="00F12944">
        <w:t xml:space="preserve"> other infections for this quarter.</w:t>
      </w:r>
    </w:p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4C3201" w:rsidRPr="00646673" w:rsidRDefault="004C3201" w:rsidP="004C3201">
      <w:pPr>
        <w:rPr>
          <w:rFonts w:ascii="Calibri" w:hAnsi="Calibri"/>
          <w:b/>
        </w:rPr>
      </w:pPr>
      <w:r w:rsidRPr="00027301">
        <w:rPr>
          <w:b/>
          <w:sz w:val="24"/>
        </w:rPr>
        <w:t>4.0</w:t>
      </w:r>
      <w:r>
        <w:rPr>
          <w:b/>
        </w:rPr>
        <w:tab/>
      </w:r>
      <w:r w:rsidRPr="00881F7F">
        <w:rPr>
          <w:b/>
          <w:sz w:val="24"/>
        </w:rPr>
        <w:t xml:space="preserve">Shoreham Village </w:t>
      </w:r>
      <w:r>
        <w:rPr>
          <w:b/>
          <w:sz w:val="24"/>
        </w:rPr>
        <w:t>–</w:t>
      </w:r>
      <w:r w:rsidRPr="00881F7F">
        <w:rPr>
          <w:b/>
          <w:sz w:val="24"/>
        </w:rPr>
        <w:t xml:space="preserve"> </w:t>
      </w:r>
      <w:r>
        <w:rPr>
          <w:b/>
          <w:sz w:val="24"/>
        </w:rPr>
        <w:t>Pressure Injury Summary</w:t>
      </w:r>
      <w:r w:rsidRPr="00881F7F">
        <w:rPr>
          <w:b/>
          <w:sz w:val="24"/>
        </w:rPr>
        <w:t xml:space="preserve"> – Q</w:t>
      </w:r>
      <w:r>
        <w:rPr>
          <w:b/>
          <w:sz w:val="24"/>
        </w:rPr>
        <w:t>4</w:t>
      </w:r>
      <w:r w:rsidRPr="00881F7F">
        <w:rPr>
          <w:b/>
          <w:sz w:val="24"/>
        </w:rPr>
        <w:t xml:space="preserve"> </w:t>
      </w:r>
      <w:r>
        <w:rPr>
          <w:b/>
          <w:sz w:val="24"/>
        </w:rPr>
        <w:t>Jan</w:t>
      </w:r>
      <w:r w:rsidRPr="00881F7F">
        <w:rPr>
          <w:b/>
          <w:sz w:val="24"/>
        </w:rPr>
        <w:t xml:space="preserve"> – </w:t>
      </w:r>
      <w:r>
        <w:rPr>
          <w:b/>
          <w:sz w:val="24"/>
        </w:rPr>
        <w:t>March 2021/22</w:t>
      </w:r>
    </w:p>
    <w:p w:rsidR="004C3201" w:rsidRDefault="004C3201" w:rsidP="00D70818"/>
    <w:p w:rsidR="004C3201" w:rsidRDefault="004C3201" w:rsidP="00D70818">
      <w:r>
        <w:t xml:space="preserve">The Provincial Wound Care Program, overseen by Health Association of NS (HANS) collects data monthly through a submission to the Department of Seniors &amp; Long Term Care (DSLTC). </w:t>
      </w:r>
      <w:r w:rsidR="003F153B">
        <w:t>Shoreham data is submitted</w:t>
      </w:r>
      <w:r>
        <w:t xml:space="preserve"> on the pressure injuries (PIs) in the facility on a given date, the last day of the month. This data</w:t>
      </w:r>
      <w:r w:rsidR="003F153B">
        <w:t xml:space="preserve"> </w:t>
      </w:r>
      <w:r>
        <w:t xml:space="preserve">captures pressure injuries and does not include other wounds </w:t>
      </w:r>
      <w:proofErr w:type="spellStart"/>
      <w:r>
        <w:t>ie</w:t>
      </w:r>
      <w:proofErr w:type="spellEnd"/>
      <w:r>
        <w:t xml:space="preserve"> skin tears, diabetic wounds. </w:t>
      </w:r>
    </w:p>
    <w:p w:rsidR="004C3201" w:rsidRDefault="004C3201" w:rsidP="00D70818"/>
    <w:p w:rsidR="004C3201" w:rsidRDefault="004C3201" w:rsidP="00D708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4C3201" w:rsidTr="004C3201">
        <w:tc>
          <w:tcPr>
            <w:tcW w:w="2450" w:type="dxa"/>
          </w:tcPr>
          <w:p w:rsidR="004C3201" w:rsidRDefault="004C3201" w:rsidP="00D70818"/>
        </w:tc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pPr>
              <w:jc w:val="center"/>
            </w:pPr>
            <w:r>
              <w:t>January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pPr>
              <w:jc w:val="center"/>
            </w:pPr>
            <w:r>
              <w:t>February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pPr>
              <w:jc w:val="center"/>
            </w:pPr>
            <w:r>
              <w:t>March</w:t>
            </w:r>
          </w:p>
        </w:tc>
      </w:tr>
      <w:tr w:rsidR="004C3201" w:rsidTr="004C3201"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r>
              <w:t># of Residents with PIs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  <w:tc>
          <w:tcPr>
            <w:tcW w:w="2450" w:type="dxa"/>
          </w:tcPr>
          <w:p w:rsidR="004C3201" w:rsidRDefault="004C3201" w:rsidP="00D70818">
            <w:r>
              <w:t>2</w:t>
            </w:r>
          </w:p>
        </w:tc>
        <w:tc>
          <w:tcPr>
            <w:tcW w:w="2450" w:type="dxa"/>
          </w:tcPr>
          <w:p w:rsidR="004C3201" w:rsidRDefault="004C3201" w:rsidP="00D70818">
            <w:r>
              <w:t>3</w:t>
            </w:r>
          </w:p>
        </w:tc>
      </w:tr>
      <w:tr w:rsidR="004C3201" w:rsidTr="004C3201"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r>
              <w:t># of Stage 2 PIs</w:t>
            </w:r>
          </w:p>
        </w:tc>
        <w:tc>
          <w:tcPr>
            <w:tcW w:w="2450" w:type="dxa"/>
          </w:tcPr>
          <w:p w:rsidR="004C3201" w:rsidRDefault="004C3201" w:rsidP="00D70818">
            <w:r>
              <w:t>0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</w:tr>
      <w:tr w:rsidR="004C3201" w:rsidTr="004C3201"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r>
              <w:t># of Stage 3 PIs</w:t>
            </w:r>
          </w:p>
        </w:tc>
        <w:tc>
          <w:tcPr>
            <w:tcW w:w="2450" w:type="dxa"/>
          </w:tcPr>
          <w:p w:rsidR="004C3201" w:rsidRDefault="004C3201" w:rsidP="00D70818">
            <w:r>
              <w:t>0</w:t>
            </w:r>
          </w:p>
        </w:tc>
        <w:tc>
          <w:tcPr>
            <w:tcW w:w="2450" w:type="dxa"/>
          </w:tcPr>
          <w:p w:rsidR="004C3201" w:rsidRDefault="004C3201" w:rsidP="00D70818">
            <w:r>
              <w:t>0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</w:tr>
      <w:tr w:rsidR="004C3201" w:rsidTr="004C3201"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r>
              <w:t># of Stage 4 PIs</w:t>
            </w:r>
          </w:p>
        </w:tc>
        <w:tc>
          <w:tcPr>
            <w:tcW w:w="2450" w:type="dxa"/>
          </w:tcPr>
          <w:p w:rsidR="004C3201" w:rsidRDefault="004C3201" w:rsidP="00D70818">
            <w:r>
              <w:t>0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</w:tr>
      <w:tr w:rsidR="004C3201" w:rsidTr="004C3201"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r>
              <w:t xml:space="preserve"># of </w:t>
            </w:r>
            <w:proofErr w:type="spellStart"/>
            <w:r>
              <w:t>Unstageable</w:t>
            </w:r>
            <w:proofErr w:type="spellEnd"/>
            <w:r>
              <w:t xml:space="preserve"> PIs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  <w:tc>
          <w:tcPr>
            <w:tcW w:w="2450" w:type="dxa"/>
          </w:tcPr>
          <w:p w:rsidR="004C3201" w:rsidRDefault="004C3201" w:rsidP="00D70818">
            <w:r>
              <w:t>0</w:t>
            </w:r>
          </w:p>
        </w:tc>
        <w:tc>
          <w:tcPr>
            <w:tcW w:w="2450" w:type="dxa"/>
          </w:tcPr>
          <w:p w:rsidR="004C3201" w:rsidRDefault="004C3201" w:rsidP="00D70818"/>
        </w:tc>
      </w:tr>
      <w:tr w:rsidR="004C3201" w:rsidTr="004C3201">
        <w:tc>
          <w:tcPr>
            <w:tcW w:w="2450" w:type="dxa"/>
            <w:shd w:val="clear" w:color="auto" w:fill="D9D9D9" w:themeFill="background1" w:themeFillShade="D9"/>
          </w:tcPr>
          <w:p w:rsidR="004C3201" w:rsidRDefault="004C3201" w:rsidP="004C3201">
            <w:r>
              <w:t># of Facility Acquired</w:t>
            </w:r>
          </w:p>
        </w:tc>
        <w:tc>
          <w:tcPr>
            <w:tcW w:w="2450" w:type="dxa"/>
          </w:tcPr>
          <w:p w:rsidR="004C3201" w:rsidRDefault="004C3201" w:rsidP="00D70818">
            <w:r>
              <w:t>0</w:t>
            </w:r>
          </w:p>
        </w:tc>
        <w:tc>
          <w:tcPr>
            <w:tcW w:w="2450" w:type="dxa"/>
          </w:tcPr>
          <w:p w:rsidR="004C3201" w:rsidRDefault="004C3201" w:rsidP="00D70818">
            <w:r>
              <w:t>0</w:t>
            </w:r>
          </w:p>
        </w:tc>
        <w:tc>
          <w:tcPr>
            <w:tcW w:w="2450" w:type="dxa"/>
          </w:tcPr>
          <w:p w:rsidR="004C3201" w:rsidRDefault="004C3201" w:rsidP="00D70818">
            <w:r>
              <w:t>1</w:t>
            </w:r>
          </w:p>
        </w:tc>
      </w:tr>
      <w:tr w:rsidR="004C3201" w:rsidTr="004C3201">
        <w:tc>
          <w:tcPr>
            <w:tcW w:w="2450" w:type="dxa"/>
            <w:shd w:val="clear" w:color="auto" w:fill="D9D9D9" w:themeFill="background1" w:themeFillShade="D9"/>
          </w:tcPr>
          <w:p w:rsidR="004C3201" w:rsidRPr="004C3201" w:rsidRDefault="004C3201" w:rsidP="004C3201">
            <w:pPr>
              <w:rPr>
                <w:b/>
              </w:rPr>
            </w:pPr>
            <w:r w:rsidRPr="004C3201">
              <w:rPr>
                <w:b/>
              </w:rPr>
              <w:t>TOTAL PIs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4C3201" w:rsidRPr="004C3201" w:rsidRDefault="004C3201" w:rsidP="00D70818">
            <w:pPr>
              <w:rPr>
                <w:b/>
              </w:rPr>
            </w:pPr>
            <w:r w:rsidRPr="004C3201">
              <w:rPr>
                <w:b/>
              </w:rPr>
              <w:t>1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4C3201" w:rsidRPr="004C3201" w:rsidRDefault="004C3201" w:rsidP="00D70818">
            <w:pPr>
              <w:rPr>
                <w:b/>
              </w:rPr>
            </w:pPr>
            <w:r w:rsidRPr="004C3201">
              <w:rPr>
                <w:b/>
              </w:rPr>
              <w:t>2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4C3201" w:rsidRPr="004C3201" w:rsidRDefault="004C3201" w:rsidP="00D7081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B96435" w:rsidRDefault="00B96435" w:rsidP="00D70818"/>
    <w:p w:rsidR="00427D1B" w:rsidRDefault="00427D1B" w:rsidP="00D70818"/>
    <w:p w:rsidR="00427D1B" w:rsidRDefault="00427D1B" w:rsidP="00D70818"/>
    <w:p w:rsidR="00427D1B" w:rsidRDefault="00427D1B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4C3201" w:rsidRDefault="004C3201" w:rsidP="00D70818"/>
    <w:p w:rsidR="006E1573" w:rsidRDefault="006E1573" w:rsidP="00D70818"/>
    <w:p w:rsidR="008B127B" w:rsidRDefault="008B127B" w:rsidP="00D70818"/>
    <w:p w:rsidR="00D70818" w:rsidRPr="00646673" w:rsidRDefault="008B127B" w:rsidP="00D70818">
      <w:pPr>
        <w:rPr>
          <w:rFonts w:ascii="Calibri" w:hAnsi="Calibri"/>
          <w:b/>
        </w:rPr>
      </w:pPr>
      <w:r>
        <w:rPr>
          <w:b/>
          <w:sz w:val="24"/>
        </w:rPr>
        <w:t>5</w:t>
      </w:r>
      <w:r w:rsidR="00D70818" w:rsidRPr="00027301">
        <w:rPr>
          <w:b/>
          <w:sz w:val="24"/>
        </w:rPr>
        <w:t>.0</w:t>
      </w:r>
      <w:r w:rsidR="00D70818">
        <w:rPr>
          <w:b/>
        </w:rPr>
        <w:tab/>
      </w:r>
      <w:r w:rsidR="00D70818" w:rsidRPr="00881F7F">
        <w:rPr>
          <w:b/>
          <w:sz w:val="24"/>
        </w:rPr>
        <w:t xml:space="preserve">Shoreham Village </w:t>
      </w:r>
      <w:r w:rsidR="000D12E5" w:rsidRPr="00881F7F">
        <w:rPr>
          <w:b/>
          <w:sz w:val="24"/>
        </w:rPr>
        <w:t xml:space="preserve">- </w:t>
      </w:r>
      <w:r w:rsidR="00D70818" w:rsidRPr="00881F7F">
        <w:rPr>
          <w:b/>
          <w:sz w:val="24"/>
        </w:rPr>
        <w:t>Hand Hygiene Report – Q</w:t>
      </w:r>
      <w:r w:rsidR="00336B28">
        <w:rPr>
          <w:b/>
          <w:sz w:val="24"/>
        </w:rPr>
        <w:t>4</w:t>
      </w:r>
      <w:r w:rsidR="00D70818" w:rsidRPr="00881F7F">
        <w:rPr>
          <w:b/>
          <w:sz w:val="24"/>
        </w:rPr>
        <w:t xml:space="preserve"> </w:t>
      </w:r>
      <w:r w:rsidR="00336B28">
        <w:rPr>
          <w:b/>
          <w:sz w:val="24"/>
        </w:rPr>
        <w:t>Jan</w:t>
      </w:r>
      <w:r w:rsidR="00316133" w:rsidRPr="00881F7F">
        <w:rPr>
          <w:b/>
          <w:sz w:val="24"/>
        </w:rPr>
        <w:t xml:space="preserve"> </w:t>
      </w:r>
      <w:r w:rsidR="00D70818" w:rsidRPr="00881F7F">
        <w:rPr>
          <w:b/>
          <w:sz w:val="24"/>
        </w:rPr>
        <w:t xml:space="preserve">– </w:t>
      </w:r>
      <w:r w:rsidR="00336B28">
        <w:rPr>
          <w:b/>
          <w:sz w:val="24"/>
        </w:rPr>
        <w:t>March</w:t>
      </w:r>
      <w:r w:rsidR="002768AC">
        <w:rPr>
          <w:b/>
          <w:sz w:val="24"/>
        </w:rPr>
        <w:t xml:space="preserve"> </w:t>
      </w:r>
      <w:r w:rsidR="00D865FD">
        <w:rPr>
          <w:b/>
          <w:sz w:val="24"/>
        </w:rPr>
        <w:t>2021/22</w:t>
      </w:r>
    </w:p>
    <w:p w:rsidR="00D70818" w:rsidRDefault="00D70818" w:rsidP="00D70818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880"/>
        <w:gridCol w:w="1417"/>
        <w:gridCol w:w="1620"/>
        <w:gridCol w:w="1620"/>
        <w:gridCol w:w="1710"/>
      </w:tblGrid>
      <w:tr w:rsidR="00D70818" w:rsidTr="002A3CF7">
        <w:tc>
          <w:tcPr>
            <w:tcW w:w="2880" w:type="dxa"/>
          </w:tcPr>
          <w:p w:rsidR="00D70818" w:rsidRPr="00D12732" w:rsidRDefault="00D70818" w:rsidP="002A3CF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Results</w:t>
            </w:r>
          </w:p>
        </w:tc>
        <w:tc>
          <w:tcPr>
            <w:tcW w:w="1417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Q1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 w:rsidRPr="00C92968">
              <w:rPr>
                <w:rFonts w:ascii="Calibri" w:hAnsi="Calibri"/>
                <w:b/>
              </w:rPr>
              <w:t>Q2</w:t>
            </w:r>
          </w:p>
        </w:tc>
        <w:tc>
          <w:tcPr>
            <w:tcW w:w="1620" w:type="dxa"/>
          </w:tcPr>
          <w:p w:rsidR="00D70818" w:rsidRPr="00C9296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1710" w:type="dxa"/>
          </w:tcPr>
          <w:p w:rsidR="00D70818" w:rsidRDefault="00D70818" w:rsidP="002A3C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Staff  Audited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  <w:tc>
          <w:tcPr>
            <w:tcW w:w="1710" w:type="dxa"/>
          </w:tcPr>
          <w:p w:rsidR="002A3CF7" w:rsidRDefault="005C7920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463</w:t>
            </w: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 Opportunities Observed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457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277</w:t>
            </w:r>
          </w:p>
        </w:tc>
        <w:tc>
          <w:tcPr>
            <w:tcW w:w="1710" w:type="dxa"/>
          </w:tcPr>
          <w:p w:rsidR="002A3CF7" w:rsidRDefault="005C7920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2219</w:t>
            </w: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# of Opportunities Met </w:t>
            </w:r>
          </w:p>
        </w:tc>
        <w:tc>
          <w:tcPr>
            <w:tcW w:w="1417" w:type="dxa"/>
          </w:tcPr>
          <w:p w:rsidR="002A3CF7" w:rsidRDefault="00506351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433</w:t>
            </w:r>
            <w:r w:rsidR="002A3CF7">
              <w:rPr>
                <w:rFonts w:ascii="Calibri" w:hAnsi="Calibri"/>
              </w:rPr>
              <w:t xml:space="preserve"> (9</w:t>
            </w:r>
            <w:r>
              <w:rPr>
                <w:rFonts w:ascii="Calibri" w:hAnsi="Calibri"/>
              </w:rPr>
              <w:t>4.7</w:t>
            </w:r>
            <w:r w:rsidR="002A3CF7">
              <w:rPr>
                <w:rFonts w:ascii="Calibri" w:hAnsi="Calibri"/>
              </w:rPr>
              <w:t>%)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378(95.7%)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269 (97%)</w:t>
            </w:r>
          </w:p>
        </w:tc>
        <w:tc>
          <w:tcPr>
            <w:tcW w:w="1710" w:type="dxa"/>
          </w:tcPr>
          <w:p w:rsidR="002A3CF7" w:rsidRDefault="005C7920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2156 (97%)</w:t>
            </w:r>
          </w:p>
        </w:tc>
      </w:tr>
      <w:tr w:rsidR="002A3CF7" w:rsidTr="002A3CF7">
        <w:tc>
          <w:tcPr>
            <w:tcW w:w="2880" w:type="dxa"/>
          </w:tcPr>
          <w:p w:rsidR="002A3CF7" w:rsidRDefault="002A3CF7" w:rsidP="002A3C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# of Opportunities Missed</w:t>
            </w:r>
          </w:p>
        </w:tc>
        <w:tc>
          <w:tcPr>
            <w:tcW w:w="1417" w:type="dxa"/>
          </w:tcPr>
          <w:p w:rsidR="002A3CF7" w:rsidRDefault="002A3CF7" w:rsidP="005063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506351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(</w:t>
            </w:r>
            <w:r w:rsidR="00506351">
              <w:rPr>
                <w:rFonts w:ascii="Calibri" w:hAnsi="Calibri"/>
              </w:rPr>
              <w:t>5.3</w:t>
            </w:r>
            <w:r>
              <w:rPr>
                <w:rFonts w:ascii="Calibri" w:hAnsi="Calibri"/>
              </w:rPr>
              <w:t>%)</w:t>
            </w:r>
          </w:p>
        </w:tc>
        <w:tc>
          <w:tcPr>
            <w:tcW w:w="1620" w:type="dxa"/>
          </w:tcPr>
          <w:p w:rsidR="002A3CF7" w:rsidRDefault="00CA1CEB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17(4.3%)</w:t>
            </w:r>
          </w:p>
        </w:tc>
        <w:tc>
          <w:tcPr>
            <w:tcW w:w="1620" w:type="dxa"/>
          </w:tcPr>
          <w:p w:rsidR="002A3CF7" w:rsidRDefault="000D07EE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(3%)</w:t>
            </w:r>
          </w:p>
        </w:tc>
        <w:tc>
          <w:tcPr>
            <w:tcW w:w="1710" w:type="dxa"/>
          </w:tcPr>
          <w:p w:rsidR="002A3CF7" w:rsidRDefault="005C7920" w:rsidP="002A3C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 (3%)</w:t>
            </w:r>
          </w:p>
        </w:tc>
      </w:tr>
    </w:tbl>
    <w:p w:rsidR="00D70818" w:rsidRDefault="00D70818" w:rsidP="00D70818">
      <w:pPr>
        <w:jc w:val="both"/>
        <w:rPr>
          <w:rFonts w:ascii="Calibri" w:hAnsi="Calibri"/>
          <w:sz w:val="20"/>
          <w:szCs w:val="20"/>
        </w:rPr>
      </w:pPr>
    </w:p>
    <w:p w:rsidR="002F35D7" w:rsidRDefault="002F35D7" w:rsidP="00D70818">
      <w:pPr>
        <w:jc w:val="both"/>
        <w:rPr>
          <w:rFonts w:ascii="Calibri" w:hAnsi="Calibri"/>
          <w:sz w:val="20"/>
          <w:szCs w:val="20"/>
        </w:rPr>
      </w:pPr>
    </w:p>
    <w:p w:rsidR="002F35D7" w:rsidRPr="00C92968" w:rsidRDefault="002F35D7" w:rsidP="00D70818">
      <w:pPr>
        <w:jc w:val="both"/>
        <w:rPr>
          <w:rFonts w:ascii="Calibri" w:hAnsi="Calibri"/>
          <w:sz w:val="20"/>
          <w:szCs w:val="20"/>
        </w:rPr>
      </w:pPr>
      <w:r w:rsidRPr="00E964A8">
        <w:rPr>
          <w:noProof/>
          <w:bdr w:val="single" w:sz="6" w:space="0" w:color="auto"/>
          <w:lang w:val="en-CA" w:eastAsia="en-CA"/>
        </w:rPr>
        <w:lastRenderedPageBreak/>
        <w:drawing>
          <wp:inline distT="0" distB="0" distL="0" distR="0">
            <wp:extent cx="6099810" cy="3135085"/>
            <wp:effectExtent l="0" t="0" r="1524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0818" w:rsidRPr="0062323A" w:rsidRDefault="005B5C4A" w:rsidP="00D70818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="00D70818" w:rsidRPr="0062323A">
        <w:rPr>
          <w:rFonts w:ascii="Calibri" w:hAnsi="Calibri"/>
          <w:b/>
          <w:noProof/>
          <w:szCs w:val="22"/>
        </w:rPr>
        <w:t>omments:</w:t>
      </w:r>
    </w:p>
    <w:p w:rsidR="00D70818" w:rsidRDefault="00D70818" w:rsidP="00D70818">
      <w:pPr>
        <w:jc w:val="center"/>
        <w:rPr>
          <w:rFonts w:ascii="Calibri" w:hAnsi="Calibri"/>
          <w:noProof/>
          <w:szCs w:val="22"/>
        </w:rPr>
      </w:pPr>
    </w:p>
    <w:p w:rsidR="003F49EC" w:rsidRDefault="008D3D7A" w:rsidP="003F49EC">
      <w:pPr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Areas for improvement include:</w:t>
      </w:r>
    </w:p>
    <w:p w:rsidR="000D07EE" w:rsidRDefault="000D07EE" w:rsidP="003F49EC">
      <w:pPr>
        <w:jc w:val="both"/>
        <w:rPr>
          <w:rFonts w:ascii="Calibri" w:hAnsi="Calibri"/>
          <w:b/>
          <w:szCs w:val="22"/>
        </w:rPr>
      </w:pPr>
    </w:p>
    <w:p w:rsidR="005C7920" w:rsidRPr="005C7920" w:rsidRDefault="005C7920" w:rsidP="003F49EC">
      <w:pPr>
        <w:jc w:val="both"/>
        <w:rPr>
          <w:rFonts w:ascii="Calibri" w:hAnsi="Calibri"/>
          <w:szCs w:val="22"/>
        </w:rPr>
      </w:pPr>
      <w:r w:rsidRPr="005C7920">
        <w:rPr>
          <w:rFonts w:ascii="Calibri" w:hAnsi="Calibri"/>
          <w:szCs w:val="22"/>
        </w:rPr>
        <w:t xml:space="preserve">This quarter saw a significant increase in auditing due to the </w:t>
      </w:r>
      <w:proofErr w:type="spellStart"/>
      <w:r w:rsidRPr="005C7920">
        <w:rPr>
          <w:rFonts w:ascii="Calibri" w:hAnsi="Calibri"/>
          <w:szCs w:val="22"/>
        </w:rPr>
        <w:t>covid</w:t>
      </w:r>
      <w:proofErr w:type="spellEnd"/>
      <w:r w:rsidRPr="005C7920">
        <w:rPr>
          <w:rFonts w:ascii="Calibri" w:hAnsi="Calibri"/>
          <w:szCs w:val="22"/>
        </w:rPr>
        <w:t xml:space="preserve"> outbreak. The team was </w:t>
      </w:r>
      <w:r>
        <w:rPr>
          <w:rFonts w:ascii="Calibri" w:hAnsi="Calibri"/>
          <w:szCs w:val="22"/>
        </w:rPr>
        <w:t>continuously</w:t>
      </w:r>
      <w:r w:rsidRPr="005C7920">
        <w:rPr>
          <w:rFonts w:ascii="Calibri" w:hAnsi="Calibri"/>
          <w:szCs w:val="22"/>
        </w:rPr>
        <w:t xml:space="preserve"> auditing and educating staff to support safe practices. </w:t>
      </w:r>
    </w:p>
    <w:p w:rsidR="005C7920" w:rsidRDefault="005C7920" w:rsidP="003F49EC">
      <w:pPr>
        <w:jc w:val="both"/>
        <w:rPr>
          <w:rFonts w:ascii="Calibri" w:hAnsi="Calibri"/>
          <w:b/>
          <w:szCs w:val="22"/>
        </w:rPr>
      </w:pPr>
    </w:p>
    <w:p w:rsidR="00192918" w:rsidRDefault="005C7920" w:rsidP="003F49EC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There were 63</w:t>
      </w:r>
      <w:r w:rsidR="000D07EE">
        <w:rPr>
          <w:rFonts w:ascii="Calibri" w:hAnsi="Calibri"/>
          <w:szCs w:val="22"/>
        </w:rPr>
        <w:t xml:space="preserve"> incidents where the opportunity for </w:t>
      </w:r>
      <w:r w:rsidR="00CA1CEB">
        <w:rPr>
          <w:rFonts w:ascii="Calibri" w:hAnsi="Calibri"/>
          <w:szCs w:val="22"/>
        </w:rPr>
        <w:t xml:space="preserve">Hand Hygiene </w:t>
      </w:r>
      <w:r>
        <w:rPr>
          <w:rFonts w:ascii="Calibri" w:hAnsi="Calibri"/>
          <w:szCs w:val="22"/>
        </w:rPr>
        <w:t xml:space="preserve">was missed however no areas scored less than 80%. </w:t>
      </w:r>
      <w:r w:rsidR="00192918">
        <w:rPr>
          <w:rFonts w:ascii="Calibri" w:hAnsi="Calibri"/>
          <w:szCs w:val="22"/>
        </w:rPr>
        <w:t>Areas where the majority of unmet opportunities resulted included:</w:t>
      </w:r>
      <w:r w:rsidR="00192918" w:rsidRPr="00192918">
        <w:t xml:space="preserve"> </w:t>
      </w:r>
      <w:r w:rsidR="00192918" w:rsidRPr="00192918">
        <w:rPr>
          <w:rFonts w:ascii="Calibri" w:hAnsi="Calibri"/>
          <w:szCs w:val="22"/>
        </w:rPr>
        <w:t>Not washi</w:t>
      </w:r>
      <w:r w:rsidR="00192918">
        <w:rPr>
          <w:rFonts w:ascii="Calibri" w:hAnsi="Calibri"/>
          <w:szCs w:val="22"/>
        </w:rPr>
        <w:t>ng hands before direct care,</w:t>
      </w:r>
      <w:r w:rsidR="00192918" w:rsidRPr="00192918">
        <w:rPr>
          <w:rFonts w:ascii="Calibri" w:hAnsi="Calibri"/>
          <w:szCs w:val="22"/>
        </w:rPr>
        <w:t xml:space="preserve"> before handling clean linen, before feeding and food prep</w:t>
      </w:r>
      <w:r w:rsidR="00192918">
        <w:rPr>
          <w:rFonts w:ascii="Calibri" w:hAnsi="Calibri"/>
          <w:szCs w:val="22"/>
        </w:rPr>
        <w:t>.</w:t>
      </w:r>
    </w:p>
    <w:p w:rsidR="00F91651" w:rsidRDefault="005C7920" w:rsidP="003F49EC">
      <w:p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</w:t>
      </w:r>
      <w:r w:rsidR="000D07EE">
        <w:rPr>
          <w:rFonts w:ascii="Calibri" w:hAnsi="Calibri"/>
          <w:szCs w:val="22"/>
        </w:rPr>
        <w:t>ommunication was sent</w:t>
      </w:r>
      <w:r>
        <w:rPr>
          <w:rFonts w:ascii="Calibri" w:hAnsi="Calibri"/>
          <w:szCs w:val="22"/>
        </w:rPr>
        <w:t xml:space="preserve"> through the HUB for all staff to share audit results and </w:t>
      </w:r>
      <w:r w:rsidR="00192918">
        <w:rPr>
          <w:rFonts w:ascii="Calibri" w:hAnsi="Calibri"/>
          <w:szCs w:val="22"/>
        </w:rPr>
        <w:t>reminders.</w:t>
      </w:r>
    </w:p>
    <w:p w:rsidR="000D07EE" w:rsidRDefault="000D07EE" w:rsidP="003F49EC">
      <w:pPr>
        <w:jc w:val="both"/>
        <w:rPr>
          <w:rFonts w:ascii="Calibri" w:hAnsi="Calibri"/>
          <w:szCs w:val="22"/>
        </w:rPr>
      </w:pPr>
    </w:p>
    <w:p w:rsidR="000D07EE" w:rsidRPr="00192918" w:rsidRDefault="000D07EE" w:rsidP="003F49EC">
      <w:pPr>
        <w:jc w:val="both"/>
        <w:rPr>
          <w:rFonts w:ascii="Calibri" w:hAnsi="Calibri"/>
          <w:b/>
          <w:szCs w:val="22"/>
        </w:rPr>
      </w:pPr>
      <w:r w:rsidRPr="00192918">
        <w:rPr>
          <w:rFonts w:ascii="Calibri" w:hAnsi="Calibri"/>
          <w:b/>
          <w:szCs w:val="22"/>
        </w:rPr>
        <w:t>Other Infection control audits were completed which included mask and P</w:t>
      </w:r>
      <w:r w:rsidR="00192918" w:rsidRPr="00192918">
        <w:rPr>
          <w:rFonts w:ascii="Calibri" w:hAnsi="Calibri"/>
          <w:b/>
          <w:szCs w:val="22"/>
        </w:rPr>
        <w:t>PE wearing.</w:t>
      </w:r>
    </w:p>
    <w:p w:rsidR="00192918" w:rsidRDefault="00192918" w:rsidP="003F49EC">
      <w:pPr>
        <w:jc w:val="both"/>
        <w:rPr>
          <w:rFonts w:ascii="Calibri" w:hAnsi="Calibri"/>
          <w:szCs w:val="22"/>
        </w:rPr>
      </w:pPr>
    </w:p>
    <w:p w:rsidR="00192918" w:rsidRDefault="00192918" w:rsidP="00192918">
      <w:pPr>
        <w:rPr>
          <w:szCs w:val="22"/>
          <w:lang w:val="en-CA"/>
        </w:rPr>
      </w:pPr>
      <w:r>
        <w:rPr>
          <w:b/>
          <w:bCs/>
          <w:u w:val="single"/>
          <w:lang w:val="en-CA"/>
        </w:rPr>
        <w:t>Mask Audit</w:t>
      </w:r>
      <w:r>
        <w:rPr>
          <w:lang w:val="en-CA"/>
        </w:rPr>
        <w:t xml:space="preserve">   </w:t>
      </w:r>
    </w:p>
    <w:p w:rsidR="00192918" w:rsidRDefault="00192918" w:rsidP="00192918">
      <w:pPr>
        <w:rPr>
          <w:lang w:val="en-CA"/>
        </w:rPr>
      </w:pPr>
      <w:r>
        <w:rPr>
          <w:lang w:val="en-CA"/>
        </w:rPr>
        <w:t xml:space="preserve">149 audits completed: 139 met (95%) and 8 not met (5%)    </w:t>
      </w:r>
    </w:p>
    <w:p w:rsidR="00192918" w:rsidRDefault="00192918" w:rsidP="00192918">
      <w:pPr>
        <w:rPr>
          <w:lang w:val="en-CA"/>
        </w:rPr>
      </w:pPr>
      <w:r>
        <w:rPr>
          <w:lang w:val="en-CA"/>
        </w:rPr>
        <w:t xml:space="preserve">Areas noted touching nose/face, masks not being worn properly (under nose), not wearing all the time.  These folks were spoken to at the time of the audit. </w:t>
      </w:r>
    </w:p>
    <w:p w:rsidR="00192918" w:rsidRDefault="00192918" w:rsidP="00192918">
      <w:pPr>
        <w:rPr>
          <w:lang w:val="en-CA"/>
        </w:rPr>
      </w:pPr>
    </w:p>
    <w:p w:rsidR="008B127B" w:rsidRDefault="008B127B" w:rsidP="00192918">
      <w:pPr>
        <w:rPr>
          <w:lang w:val="en-CA"/>
        </w:rPr>
      </w:pPr>
    </w:p>
    <w:p w:rsidR="008B127B" w:rsidRDefault="008B127B" w:rsidP="00192918">
      <w:pPr>
        <w:rPr>
          <w:lang w:val="en-CA"/>
        </w:rPr>
      </w:pPr>
    </w:p>
    <w:p w:rsidR="008B127B" w:rsidRDefault="008B127B" w:rsidP="00192918">
      <w:pPr>
        <w:rPr>
          <w:lang w:val="en-CA"/>
        </w:rPr>
      </w:pPr>
    </w:p>
    <w:p w:rsidR="00192918" w:rsidRDefault="00192918" w:rsidP="00192918">
      <w:pPr>
        <w:rPr>
          <w:b/>
          <w:bCs/>
          <w:u w:val="single"/>
          <w:lang w:val="en-CA"/>
        </w:rPr>
      </w:pPr>
      <w:r>
        <w:rPr>
          <w:b/>
          <w:bCs/>
          <w:u w:val="single"/>
          <w:lang w:val="en-CA"/>
        </w:rPr>
        <w:t>Infection Control/ PPE audits</w:t>
      </w:r>
    </w:p>
    <w:p w:rsidR="00192918" w:rsidRDefault="00192918" w:rsidP="00192918">
      <w:pPr>
        <w:rPr>
          <w:b/>
          <w:bCs/>
          <w:u w:val="single"/>
          <w:lang w:val="en-CA"/>
        </w:rPr>
      </w:pPr>
    </w:p>
    <w:p w:rsidR="00192918" w:rsidRDefault="00192918" w:rsidP="00192918">
      <w:pPr>
        <w:rPr>
          <w:lang w:val="en-CA"/>
        </w:rPr>
      </w:pPr>
      <w:r>
        <w:rPr>
          <w:lang w:val="en-CA"/>
        </w:rPr>
        <w:t>21 audits completed:  16 compliant (76%) and 5 not met (24%</w:t>
      </w:r>
      <w:proofErr w:type="gramStart"/>
      <w:r>
        <w:rPr>
          <w:lang w:val="en-CA"/>
        </w:rPr>
        <w:t>)Areas</w:t>
      </w:r>
      <w:proofErr w:type="gramEnd"/>
      <w:r>
        <w:rPr>
          <w:lang w:val="en-CA"/>
        </w:rPr>
        <w:t xml:space="preserve"> identified for improvement improper signage, not cleaning shared equipment between residents, cleaning clean to dirty. These items were immediately addressed at the time of the audit. </w:t>
      </w:r>
    </w:p>
    <w:p w:rsidR="00F91651" w:rsidRDefault="00F91651" w:rsidP="003F49EC">
      <w:pPr>
        <w:jc w:val="both"/>
        <w:rPr>
          <w:color w:val="000000"/>
          <w:szCs w:val="22"/>
        </w:rPr>
      </w:pPr>
    </w:p>
    <w:p w:rsidR="009D3FA0" w:rsidRPr="00646673" w:rsidRDefault="008B127B" w:rsidP="009D3FA0">
      <w:pPr>
        <w:rPr>
          <w:rFonts w:ascii="Calibri" w:hAnsi="Calibri"/>
          <w:b/>
        </w:rPr>
      </w:pPr>
      <w:r>
        <w:rPr>
          <w:b/>
          <w:sz w:val="24"/>
        </w:rPr>
        <w:t>6</w:t>
      </w:r>
      <w:r w:rsidR="009D3FA0" w:rsidRPr="00027301">
        <w:rPr>
          <w:b/>
          <w:sz w:val="24"/>
        </w:rPr>
        <w:t>.0</w:t>
      </w:r>
      <w:r w:rsidR="009D3FA0">
        <w:rPr>
          <w:b/>
        </w:rPr>
        <w:tab/>
      </w:r>
      <w:r w:rsidR="009D3FA0" w:rsidRPr="00881F7F">
        <w:rPr>
          <w:b/>
          <w:sz w:val="24"/>
        </w:rPr>
        <w:t xml:space="preserve">Shoreham Village - </w:t>
      </w:r>
      <w:r w:rsidR="009D3FA0">
        <w:rPr>
          <w:b/>
          <w:sz w:val="24"/>
        </w:rPr>
        <w:t>Volunteer</w:t>
      </w:r>
      <w:r w:rsidR="009D3FA0" w:rsidRPr="00881F7F">
        <w:rPr>
          <w:b/>
          <w:sz w:val="24"/>
        </w:rPr>
        <w:t xml:space="preserve"> Report – Q</w:t>
      </w:r>
      <w:r w:rsidR="00336B28">
        <w:rPr>
          <w:b/>
          <w:sz w:val="24"/>
        </w:rPr>
        <w:t>4</w:t>
      </w:r>
      <w:r w:rsidR="009D3FA0">
        <w:rPr>
          <w:b/>
          <w:sz w:val="24"/>
        </w:rPr>
        <w:t xml:space="preserve"> </w:t>
      </w:r>
      <w:r w:rsidR="00336B28">
        <w:rPr>
          <w:b/>
          <w:sz w:val="24"/>
        </w:rPr>
        <w:t>Jan</w:t>
      </w:r>
      <w:r w:rsidR="003F49EC">
        <w:rPr>
          <w:b/>
          <w:sz w:val="24"/>
        </w:rPr>
        <w:t xml:space="preserve"> – </w:t>
      </w:r>
      <w:r w:rsidR="00336B28">
        <w:rPr>
          <w:b/>
          <w:sz w:val="24"/>
        </w:rPr>
        <w:t>March</w:t>
      </w:r>
      <w:r w:rsidR="003F49EC">
        <w:rPr>
          <w:b/>
          <w:sz w:val="24"/>
        </w:rPr>
        <w:t xml:space="preserve"> </w:t>
      </w:r>
      <w:r w:rsidR="009D3FA0">
        <w:rPr>
          <w:b/>
          <w:sz w:val="24"/>
        </w:rPr>
        <w:t>2021/22</w:t>
      </w:r>
      <w:r w:rsidR="003F49EC">
        <w:rPr>
          <w:b/>
          <w:sz w:val="24"/>
        </w:rPr>
        <w:t xml:space="preserve"> </w:t>
      </w:r>
    </w:p>
    <w:p w:rsidR="009D3FA0" w:rsidRDefault="009D3FA0" w:rsidP="009D3FA0">
      <w:pPr>
        <w:jc w:val="both"/>
        <w:rPr>
          <w:rFonts w:ascii="Calibri" w:hAnsi="Calibri"/>
          <w:szCs w:val="22"/>
        </w:rPr>
      </w:pPr>
    </w:p>
    <w:p w:rsidR="009D3FA0" w:rsidRDefault="009D3FA0" w:rsidP="009D3FA0">
      <w:r>
        <w:rPr>
          <w:noProof/>
          <w:lang w:val="en-CA" w:eastAsia="en-CA"/>
        </w:rPr>
        <w:drawing>
          <wp:inline distT="0" distB="0" distL="0" distR="0" wp14:anchorId="731DCE3C" wp14:editId="597DBDD2">
            <wp:extent cx="6223000" cy="3086100"/>
            <wp:effectExtent l="0" t="0" r="635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3FA0" w:rsidRDefault="009D3FA0" w:rsidP="009D3FA0"/>
    <w:p w:rsidR="005029B2" w:rsidRPr="0062323A" w:rsidRDefault="005029B2" w:rsidP="005029B2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>C</w:t>
      </w:r>
      <w:r w:rsidRPr="0062323A">
        <w:rPr>
          <w:rFonts w:ascii="Calibri" w:hAnsi="Calibri"/>
          <w:b/>
          <w:noProof/>
          <w:szCs w:val="22"/>
        </w:rPr>
        <w:t>omments:</w:t>
      </w:r>
    </w:p>
    <w:p w:rsidR="005029B2" w:rsidRDefault="005029B2" w:rsidP="009D3FA0"/>
    <w:p w:rsidR="003F49EC" w:rsidRPr="0027660C" w:rsidRDefault="003F49EC" w:rsidP="003F49EC">
      <w:pPr>
        <w:rPr>
          <w:rFonts w:cs="Arial"/>
          <w:b/>
          <w:sz w:val="24"/>
        </w:rPr>
      </w:pPr>
      <w:r w:rsidRPr="0027660C">
        <w:rPr>
          <w:rFonts w:cs="Arial"/>
          <w:b/>
          <w:sz w:val="24"/>
        </w:rPr>
        <w:t>Volunteer Recruitment, Training and Retention</w:t>
      </w:r>
    </w:p>
    <w:p w:rsidR="003F49EC" w:rsidRDefault="003F49EC" w:rsidP="009D3FA0"/>
    <w:p w:rsidR="004E196A" w:rsidRDefault="004E196A" w:rsidP="004E19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During this quarter, </w:t>
      </w:r>
      <w:r w:rsidR="00336B28">
        <w:rPr>
          <w:rFonts w:ascii="Arial" w:hAnsi="Arial" w:cs="Arial"/>
          <w:sz w:val="18"/>
          <w:szCs w:val="18"/>
        </w:rPr>
        <w:t xml:space="preserve">Shoreham experienced a significant COVID outbreak limiting recruitment. </w:t>
      </w:r>
      <w:r>
        <w:rPr>
          <w:rFonts w:ascii="Arial" w:hAnsi="Arial" w:cs="Arial"/>
          <w:sz w:val="18"/>
          <w:szCs w:val="18"/>
        </w:rPr>
        <w:t xml:space="preserve">We continue to maintain email, social media and verbal communications with volunteers. </w:t>
      </w:r>
    </w:p>
    <w:p w:rsidR="003F49EC" w:rsidRDefault="003F49EC" w:rsidP="003F49EC">
      <w:pPr>
        <w:rPr>
          <w:rFonts w:ascii="Arial" w:hAnsi="Arial" w:cs="Arial"/>
          <w:sz w:val="18"/>
          <w:szCs w:val="18"/>
        </w:rPr>
      </w:pPr>
    </w:p>
    <w:p w:rsidR="003F49EC" w:rsidRPr="001E3A78" w:rsidRDefault="003F49EC" w:rsidP="003F49EC">
      <w:pPr>
        <w:rPr>
          <w:rFonts w:cs="Arial"/>
          <w:b/>
          <w:sz w:val="24"/>
        </w:rPr>
      </w:pPr>
      <w:r w:rsidRPr="001E3A78">
        <w:rPr>
          <w:rFonts w:cs="Arial"/>
          <w:b/>
          <w:sz w:val="24"/>
        </w:rPr>
        <w:t xml:space="preserve">Steady or </w:t>
      </w:r>
      <w:proofErr w:type="gramStart"/>
      <w:r w:rsidRPr="001E3A78">
        <w:rPr>
          <w:rFonts w:cs="Arial"/>
          <w:b/>
          <w:sz w:val="24"/>
        </w:rPr>
        <w:t>Growing</w:t>
      </w:r>
      <w:proofErr w:type="gramEnd"/>
      <w:r w:rsidRPr="001E3A78">
        <w:rPr>
          <w:rFonts w:cs="Arial"/>
          <w:b/>
          <w:sz w:val="24"/>
        </w:rPr>
        <w:t xml:space="preserve"> volunteer base</w:t>
      </w:r>
    </w:p>
    <w:p w:rsidR="003F49EC" w:rsidRDefault="003F49EC" w:rsidP="003F49EC">
      <w:pPr>
        <w:rPr>
          <w:rFonts w:ascii="Arial" w:hAnsi="Arial" w:cs="Arial"/>
          <w:sz w:val="18"/>
          <w:szCs w:val="18"/>
        </w:rPr>
      </w:pPr>
    </w:p>
    <w:p w:rsidR="003F49EC" w:rsidRPr="001E3A78" w:rsidRDefault="00336B28" w:rsidP="004E196A">
      <w:pPr>
        <w:rPr>
          <w:rFonts w:cs="Arial"/>
        </w:rPr>
      </w:pPr>
      <w:r>
        <w:rPr>
          <w:rFonts w:ascii="Arial" w:hAnsi="Arial" w:cs="Arial"/>
          <w:sz w:val="18"/>
          <w:szCs w:val="18"/>
        </w:rPr>
        <w:t>W</w:t>
      </w:r>
      <w:r w:rsidR="004E196A">
        <w:rPr>
          <w:rFonts w:ascii="Arial" w:hAnsi="Arial" w:cs="Arial"/>
          <w:sz w:val="18"/>
          <w:szCs w:val="18"/>
        </w:rPr>
        <w:t>e have ha</w:t>
      </w:r>
      <w:r>
        <w:rPr>
          <w:rFonts w:ascii="Arial" w:hAnsi="Arial" w:cs="Arial"/>
          <w:sz w:val="18"/>
          <w:szCs w:val="18"/>
        </w:rPr>
        <w:t>d 4 volunteers retire</w:t>
      </w:r>
      <w:r w:rsidR="004E196A">
        <w:rPr>
          <w:rFonts w:ascii="Arial" w:hAnsi="Arial" w:cs="Arial"/>
          <w:sz w:val="18"/>
          <w:szCs w:val="18"/>
        </w:rPr>
        <w:t xml:space="preserve"> from volunteerin</w:t>
      </w:r>
      <w:r>
        <w:rPr>
          <w:rFonts w:ascii="Arial" w:hAnsi="Arial" w:cs="Arial"/>
          <w:sz w:val="18"/>
          <w:szCs w:val="18"/>
        </w:rPr>
        <w:t xml:space="preserve">g. Shoreham Village recruited 0 new volunteers during this quarter. </w:t>
      </w:r>
    </w:p>
    <w:sectPr w:rsidR="003F49EC" w:rsidRPr="001E3A78" w:rsidSect="007D2620">
      <w:headerReference w:type="default" r:id="rId17"/>
      <w:footerReference w:type="default" r:id="rId18"/>
      <w:pgSz w:w="12240" w:h="15840"/>
      <w:pgMar w:top="630" w:right="1440" w:bottom="720" w:left="990" w:header="540" w:footer="54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20" w:rsidRDefault="005C7920" w:rsidP="001C6404">
      <w:r>
        <w:separator/>
      </w:r>
    </w:p>
  </w:endnote>
  <w:endnote w:type="continuationSeparator" w:id="0">
    <w:p w:rsidR="005C7920" w:rsidRDefault="005C7920" w:rsidP="001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563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920" w:rsidRDefault="005C79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7920" w:rsidRDefault="005C7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20" w:rsidRDefault="005C7920" w:rsidP="001C6404">
      <w:r>
        <w:separator/>
      </w:r>
    </w:p>
  </w:footnote>
  <w:footnote w:type="continuationSeparator" w:id="0">
    <w:p w:rsidR="005C7920" w:rsidRDefault="005C7920" w:rsidP="001C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20" w:rsidRPr="00CF1910" w:rsidRDefault="005C7920">
    <w:pPr>
      <w:pStyle w:val="Header"/>
      <w:rPr>
        <w:i/>
        <w:sz w:val="28"/>
        <w:szCs w:val="28"/>
      </w:rPr>
    </w:pPr>
    <w:r w:rsidRPr="00CF1910">
      <w:rPr>
        <w:i/>
        <w:sz w:val="28"/>
        <w:szCs w:val="28"/>
      </w:rPr>
      <w:t>Shoreham Village Resident Care Scorecard</w:t>
    </w:r>
  </w:p>
  <w:p w:rsidR="005C7920" w:rsidRDefault="005C7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0CC"/>
    <w:multiLevelType w:val="hybridMultilevel"/>
    <w:tmpl w:val="1380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58AC"/>
    <w:multiLevelType w:val="multilevel"/>
    <w:tmpl w:val="2EFE4CFE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1FF532FB"/>
    <w:multiLevelType w:val="hybridMultilevel"/>
    <w:tmpl w:val="FAFE8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7FF8"/>
    <w:multiLevelType w:val="hybridMultilevel"/>
    <w:tmpl w:val="38C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4296"/>
    <w:multiLevelType w:val="hybridMultilevel"/>
    <w:tmpl w:val="795A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79B4"/>
    <w:multiLevelType w:val="hybridMultilevel"/>
    <w:tmpl w:val="9E30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57068"/>
    <w:multiLevelType w:val="hybridMultilevel"/>
    <w:tmpl w:val="22F4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B"/>
    <w:rsid w:val="00001E76"/>
    <w:rsid w:val="00006395"/>
    <w:rsid w:val="0001080C"/>
    <w:rsid w:val="00011193"/>
    <w:rsid w:val="00015F41"/>
    <w:rsid w:val="0002160E"/>
    <w:rsid w:val="000260BD"/>
    <w:rsid w:val="00027301"/>
    <w:rsid w:val="00027A97"/>
    <w:rsid w:val="000501E8"/>
    <w:rsid w:val="0005139C"/>
    <w:rsid w:val="00055044"/>
    <w:rsid w:val="00055640"/>
    <w:rsid w:val="0005661E"/>
    <w:rsid w:val="0006339A"/>
    <w:rsid w:val="00067702"/>
    <w:rsid w:val="00070BD6"/>
    <w:rsid w:val="000844CD"/>
    <w:rsid w:val="00085A45"/>
    <w:rsid w:val="00086FB9"/>
    <w:rsid w:val="00087BCB"/>
    <w:rsid w:val="000A1814"/>
    <w:rsid w:val="000A4A87"/>
    <w:rsid w:val="000A5242"/>
    <w:rsid w:val="000A6825"/>
    <w:rsid w:val="000B617F"/>
    <w:rsid w:val="000C2076"/>
    <w:rsid w:val="000D07EE"/>
    <w:rsid w:val="000D12E5"/>
    <w:rsid w:val="000D67FC"/>
    <w:rsid w:val="000D705B"/>
    <w:rsid w:val="000F15A7"/>
    <w:rsid w:val="000F7DC4"/>
    <w:rsid w:val="001121A0"/>
    <w:rsid w:val="00113AEC"/>
    <w:rsid w:val="00114B4A"/>
    <w:rsid w:val="001206C5"/>
    <w:rsid w:val="00122916"/>
    <w:rsid w:val="00124BEE"/>
    <w:rsid w:val="001253A1"/>
    <w:rsid w:val="00134B14"/>
    <w:rsid w:val="00134C02"/>
    <w:rsid w:val="001421F3"/>
    <w:rsid w:val="00144FB8"/>
    <w:rsid w:val="00145336"/>
    <w:rsid w:val="00145ABC"/>
    <w:rsid w:val="00147D37"/>
    <w:rsid w:val="00151BC2"/>
    <w:rsid w:val="00151E13"/>
    <w:rsid w:val="0016425D"/>
    <w:rsid w:val="00164F42"/>
    <w:rsid w:val="00172E32"/>
    <w:rsid w:val="001745D1"/>
    <w:rsid w:val="0017649F"/>
    <w:rsid w:val="00192918"/>
    <w:rsid w:val="0019297B"/>
    <w:rsid w:val="00197212"/>
    <w:rsid w:val="001A77C4"/>
    <w:rsid w:val="001C00B9"/>
    <w:rsid w:val="001C6404"/>
    <w:rsid w:val="001D0D53"/>
    <w:rsid w:val="001D4DA3"/>
    <w:rsid w:val="001F29A7"/>
    <w:rsid w:val="00206CFF"/>
    <w:rsid w:val="00212425"/>
    <w:rsid w:val="00216BEA"/>
    <w:rsid w:val="00221FD2"/>
    <w:rsid w:val="00225F74"/>
    <w:rsid w:val="0024056C"/>
    <w:rsid w:val="00256618"/>
    <w:rsid w:val="00261EFC"/>
    <w:rsid w:val="002622EC"/>
    <w:rsid w:val="00266D36"/>
    <w:rsid w:val="002673C2"/>
    <w:rsid w:val="00273CBD"/>
    <w:rsid w:val="002768AC"/>
    <w:rsid w:val="002802F2"/>
    <w:rsid w:val="0028577C"/>
    <w:rsid w:val="002958B0"/>
    <w:rsid w:val="002A0737"/>
    <w:rsid w:val="002A3CF7"/>
    <w:rsid w:val="002A4813"/>
    <w:rsid w:val="002B1277"/>
    <w:rsid w:val="002C1405"/>
    <w:rsid w:val="002C178F"/>
    <w:rsid w:val="002C526D"/>
    <w:rsid w:val="002C7B33"/>
    <w:rsid w:val="002D389D"/>
    <w:rsid w:val="002D56AD"/>
    <w:rsid w:val="002E4C65"/>
    <w:rsid w:val="002E762B"/>
    <w:rsid w:val="002F35D7"/>
    <w:rsid w:val="00303213"/>
    <w:rsid w:val="003056B5"/>
    <w:rsid w:val="003120D1"/>
    <w:rsid w:val="003141E3"/>
    <w:rsid w:val="00315836"/>
    <w:rsid w:val="00316133"/>
    <w:rsid w:val="00316150"/>
    <w:rsid w:val="00333940"/>
    <w:rsid w:val="00335325"/>
    <w:rsid w:val="00336B28"/>
    <w:rsid w:val="0034126B"/>
    <w:rsid w:val="00342822"/>
    <w:rsid w:val="00342CED"/>
    <w:rsid w:val="00357201"/>
    <w:rsid w:val="0036270C"/>
    <w:rsid w:val="003653F0"/>
    <w:rsid w:val="00390E27"/>
    <w:rsid w:val="003A0B71"/>
    <w:rsid w:val="003A2481"/>
    <w:rsid w:val="003A274E"/>
    <w:rsid w:val="003A5907"/>
    <w:rsid w:val="003B3F66"/>
    <w:rsid w:val="003C133E"/>
    <w:rsid w:val="003E1E41"/>
    <w:rsid w:val="003E43F3"/>
    <w:rsid w:val="003E57E2"/>
    <w:rsid w:val="003F153B"/>
    <w:rsid w:val="003F49EC"/>
    <w:rsid w:val="003F7102"/>
    <w:rsid w:val="00405760"/>
    <w:rsid w:val="004101DC"/>
    <w:rsid w:val="004175E1"/>
    <w:rsid w:val="00421B40"/>
    <w:rsid w:val="00427D1B"/>
    <w:rsid w:val="00433791"/>
    <w:rsid w:val="00435291"/>
    <w:rsid w:val="00437C59"/>
    <w:rsid w:val="00445E9D"/>
    <w:rsid w:val="00452861"/>
    <w:rsid w:val="00462123"/>
    <w:rsid w:val="004623DC"/>
    <w:rsid w:val="00470322"/>
    <w:rsid w:val="00471539"/>
    <w:rsid w:val="00475C1E"/>
    <w:rsid w:val="00481B18"/>
    <w:rsid w:val="00483D2E"/>
    <w:rsid w:val="00485001"/>
    <w:rsid w:val="00486472"/>
    <w:rsid w:val="00491D98"/>
    <w:rsid w:val="004A63A6"/>
    <w:rsid w:val="004A77F3"/>
    <w:rsid w:val="004C17E7"/>
    <w:rsid w:val="004C2D51"/>
    <w:rsid w:val="004C3201"/>
    <w:rsid w:val="004C7336"/>
    <w:rsid w:val="004E05ED"/>
    <w:rsid w:val="004E196A"/>
    <w:rsid w:val="004E2E0E"/>
    <w:rsid w:val="004F2410"/>
    <w:rsid w:val="004F5DBC"/>
    <w:rsid w:val="005029B2"/>
    <w:rsid w:val="005032E8"/>
    <w:rsid w:val="00506351"/>
    <w:rsid w:val="005117EC"/>
    <w:rsid w:val="00511E80"/>
    <w:rsid w:val="00520FF0"/>
    <w:rsid w:val="00527A01"/>
    <w:rsid w:val="005349A3"/>
    <w:rsid w:val="0054025E"/>
    <w:rsid w:val="005411A7"/>
    <w:rsid w:val="00543A8B"/>
    <w:rsid w:val="00554218"/>
    <w:rsid w:val="00572DD2"/>
    <w:rsid w:val="00575ED1"/>
    <w:rsid w:val="005833AB"/>
    <w:rsid w:val="005855D8"/>
    <w:rsid w:val="0059043D"/>
    <w:rsid w:val="005A183F"/>
    <w:rsid w:val="005A2626"/>
    <w:rsid w:val="005A5966"/>
    <w:rsid w:val="005A7F3B"/>
    <w:rsid w:val="005B242C"/>
    <w:rsid w:val="005B5274"/>
    <w:rsid w:val="005B5C4A"/>
    <w:rsid w:val="005B6CBA"/>
    <w:rsid w:val="005B7123"/>
    <w:rsid w:val="005C0AA5"/>
    <w:rsid w:val="005C6AEA"/>
    <w:rsid w:val="005C7920"/>
    <w:rsid w:val="005D35B2"/>
    <w:rsid w:val="005F05BB"/>
    <w:rsid w:val="005F22C7"/>
    <w:rsid w:val="005F302A"/>
    <w:rsid w:val="005F5DA0"/>
    <w:rsid w:val="00603293"/>
    <w:rsid w:val="006033F1"/>
    <w:rsid w:val="00620026"/>
    <w:rsid w:val="00633DDB"/>
    <w:rsid w:val="006537D7"/>
    <w:rsid w:val="00662299"/>
    <w:rsid w:val="00664FFC"/>
    <w:rsid w:val="006651F3"/>
    <w:rsid w:val="00666DF4"/>
    <w:rsid w:val="00673301"/>
    <w:rsid w:val="00680BAB"/>
    <w:rsid w:val="00683C5C"/>
    <w:rsid w:val="006902B7"/>
    <w:rsid w:val="00691D4B"/>
    <w:rsid w:val="00692019"/>
    <w:rsid w:val="00692F36"/>
    <w:rsid w:val="006A1E19"/>
    <w:rsid w:val="006A2058"/>
    <w:rsid w:val="006A280E"/>
    <w:rsid w:val="006C58F8"/>
    <w:rsid w:val="006E086A"/>
    <w:rsid w:val="006E1573"/>
    <w:rsid w:val="006F314C"/>
    <w:rsid w:val="00703E94"/>
    <w:rsid w:val="007079A9"/>
    <w:rsid w:val="00714CCA"/>
    <w:rsid w:val="00730E58"/>
    <w:rsid w:val="00735F15"/>
    <w:rsid w:val="007407D3"/>
    <w:rsid w:val="00755211"/>
    <w:rsid w:val="007552D3"/>
    <w:rsid w:val="00757992"/>
    <w:rsid w:val="007672D5"/>
    <w:rsid w:val="0077133C"/>
    <w:rsid w:val="0077356E"/>
    <w:rsid w:val="0077397D"/>
    <w:rsid w:val="0077660B"/>
    <w:rsid w:val="007779B1"/>
    <w:rsid w:val="00791873"/>
    <w:rsid w:val="00791BBD"/>
    <w:rsid w:val="00795DD6"/>
    <w:rsid w:val="007A32CB"/>
    <w:rsid w:val="007A725E"/>
    <w:rsid w:val="007A7E7D"/>
    <w:rsid w:val="007C02F8"/>
    <w:rsid w:val="007C57BF"/>
    <w:rsid w:val="007D2620"/>
    <w:rsid w:val="007D64B6"/>
    <w:rsid w:val="007D7CDF"/>
    <w:rsid w:val="007E19A1"/>
    <w:rsid w:val="007E6268"/>
    <w:rsid w:val="00807005"/>
    <w:rsid w:val="008106E1"/>
    <w:rsid w:val="008158AA"/>
    <w:rsid w:val="0082331B"/>
    <w:rsid w:val="00824EE2"/>
    <w:rsid w:val="00826FFE"/>
    <w:rsid w:val="0084011E"/>
    <w:rsid w:val="0084565D"/>
    <w:rsid w:val="0085118F"/>
    <w:rsid w:val="008537FE"/>
    <w:rsid w:val="00855DDD"/>
    <w:rsid w:val="00862528"/>
    <w:rsid w:val="008711CA"/>
    <w:rsid w:val="0087268C"/>
    <w:rsid w:val="0087574E"/>
    <w:rsid w:val="00881F7F"/>
    <w:rsid w:val="008840B2"/>
    <w:rsid w:val="00890802"/>
    <w:rsid w:val="00891EDF"/>
    <w:rsid w:val="008A13FC"/>
    <w:rsid w:val="008A3793"/>
    <w:rsid w:val="008A4D31"/>
    <w:rsid w:val="008B127B"/>
    <w:rsid w:val="008B189A"/>
    <w:rsid w:val="008B2FE9"/>
    <w:rsid w:val="008B5A9E"/>
    <w:rsid w:val="008D3B96"/>
    <w:rsid w:val="008D3D7A"/>
    <w:rsid w:val="008D5EA6"/>
    <w:rsid w:val="008D69E6"/>
    <w:rsid w:val="008E11E7"/>
    <w:rsid w:val="008E2913"/>
    <w:rsid w:val="008E5D3E"/>
    <w:rsid w:val="008E6C0F"/>
    <w:rsid w:val="008F0B59"/>
    <w:rsid w:val="008F53A5"/>
    <w:rsid w:val="0090517C"/>
    <w:rsid w:val="00905A94"/>
    <w:rsid w:val="0092395D"/>
    <w:rsid w:val="00936038"/>
    <w:rsid w:val="00936BEA"/>
    <w:rsid w:val="0094473E"/>
    <w:rsid w:val="00947E0D"/>
    <w:rsid w:val="00957E64"/>
    <w:rsid w:val="00965A7E"/>
    <w:rsid w:val="00965DA1"/>
    <w:rsid w:val="00965EBE"/>
    <w:rsid w:val="00966716"/>
    <w:rsid w:val="009834D6"/>
    <w:rsid w:val="00983935"/>
    <w:rsid w:val="0098469E"/>
    <w:rsid w:val="009848F5"/>
    <w:rsid w:val="00987258"/>
    <w:rsid w:val="009901F9"/>
    <w:rsid w:val="00990981"/>
    <w:rsid w:val="009A15DB"/>
    <w:rsid w:val="009A4D68"/>
    <w:rsid w:val="009A753B"/>
    <w:rsid w:val="009A7AD1"/>
    <w:rsid w:val="009B019B"/>
    <w:rsid w:val="009B2164"/>
    <w:rsid w:val="009C40EC"/>
    <w:rsid w:val="009C5733"/>
    <w:rsid w:val="009D0E25"/>
    <w:rsid w:val="009D3FA0"/>
    <w:rsid w:val="009D423A"/>
    <w:rsid w:val="009F061E"/>
    <w:rsid w:val="00A04DB1"/>
    <w:rsid w:val="00A05A74"/>
    <w:rsid w:val="00A07C63"/>
    <w:rsid w:val="00A14046"/>
    <w:rsid w:val="00A25D51"/>
    <w:rsid w:val="00A26CC7"/>
    <w:rsid w:val="00A335D1"/>
    <w:rsid w:val="00A3371A"/>
    <w:rsid w:val="00A34068"/>
    <w:rsid w:val="00A3556A"/>
    <w:rsid w:val="00A36E58"/>
    <w:rsid w:val="00A37CAB"/>
    <w:rsid w:val="00A46228"/>
    <w:rsid w:val="00A5141A"/>
    <w:rsid w:val="00A53D0F"/>
    <w:rsid w:val="00A54C55"/>
    <w:rsid w:val="00A55223"/>
    <w:rsid w:val="00A61FAD"/>
    <w:rsid w:val="00A631F7"/>
    <w:rsid w:val="00A66368"/>
    <w:rsid w:val="00A76C74"/>
    <w:rsid w:val="00A82FB4"/>
    <w:rsid w:val="00A839E2"/>
    <w:rsid w:val="00A8704F"/>
    <w:rsid w:val="00A93FA3"/>
    <w:rsid w:val="00A9520E"/>
    <w:rsid w:val="00A95F73"/>
    <w:rsid w:val="00A97D33"/>
    <w:rsid w:val="00AA348E"/>
    <w:rsid w:val="00AA42CC"/>
    <w:rsid w:val="00AA6B76"/>
    <w:rsid w:val="00AA7A14"/>
    <w:rsid w:val="00AC3FFF"/>
    <w:rsid w:val="00AC4680"/>
    <w:rsid w:val="00AC5680"/>
    <w:rsid w:val="00AD6E88"/>
    <w:rsid w:val="00AE20EC"/>
    <w:rsid w:val="00B02B1F"/>
    <w:rsid w:val="00B20879"/>
    <w:rsid w:val="00B336A1"/>
    <w:rsid w:val="00B43F27"/>
    <w:rsid w:val="00B51CA0"/>
    <w:rsid w:val="00B560BE"/>
    <w:rsid w:val="00B567AA"/>
    <w:rsid w:val="00B604E4"/>
    <w:rsid w:val="00B6263D"/>
    <w:rsid w:val="00B67871"/>
    <w:rsid w:val="00B74024"/>
    <w:rsid w:val="00B83C00"/>
    <w:rsid w:val="00B849EE"/>
    <w:rsid w:val="00B96435"/>
    <w:rsid w:val="00BA5693"/>
    <w:rsid w:val="00BB5A73"/>
    <w:rsid w:val="00BC6BAD"/>
    <w:rsid w:val="00BD01FE"/>
    <w:rsid w:val="00BD0FF7"/>
    <w:rsid w:val="00BE065B"/>
    <w:rsid w:val="00BE0E09"/>
    <w:rsid w:val="00BE3064"/>
    <w:rsid w:val="00BE48BB"/>
    <w:rsid w:val="00BF0B2B"/>
    <w:rsid w:val="00BF259C"/>
    <w:rsid w:val="00C05F10"/>
    <w:rsid w:val="00C10A85"/>
    <w:rsid w:val="00C10E5E"/>
    <w:rsid w:val="00C12E20"/>
    <w:rsid w:val="00C247CD"/>
    <w:rsid w:val="00C25386"/>
    <w:rsid w:val="00C30F46"/>
    <w:rsid w:val="00C360C0"/>
    <w:rsid w:val="00C441E0"/>
    <w:rsid w:val="00C532F8"/>
    <w:rsid w:val="00C57C80"/>
    <w:rsid w:val="00C60C95"/>
    <w:rsid w:val="00C6110C"/>
    <w:rsid w:val="00C62BFD"/>
    <w:rsid w:val="00C704E9"/>
    <w:rsid w:val="00C803C5"/>
    <w:rsid w:val="00C825BC"/>
    <w:rsid w:val="00C82E0F"/>
    <w:rsid w:val="00C911BC"/>
    <w:rsid w:val="00CA1960"/>
    <w:rsid w:val="00CA1CEB"/>
    <w:rsid w:val="00CA219D"/>
    <w:rsid w:val="00CA44BD"/>
    <w:rsid w:val="00CA7A60"/>
    <w:rsid w:val="00CB0259"/>
    <w:rsid w:val="00CB10C7"/>
    <w:rsid w:val="00CB2069"/>
    <w:rsid w:val="00CD4D9E"/>
    <w:rsid w:val="00CD73F5"/>
    <w:rsid w:val="00CE3D0C"/>
    <w:rsid w:val="00CE6167"/>
    <w:rsid w:val="00CE6A7A"/>
    <w:rsid w:val="00CE7A95"/>
    <w:rsid w:val="00CF1910"/>
    <w:rsid w:val="00CF4AE4"/>
    <w:rsid w:val="00D00870"/>
    <w:rsid w:val="00D0099D"/>
    <w:rsid w:val="00D058F2"/>
    <w:rsid w:val="00D10EBE"/>
    <w:rsid w:val="00D12FAE"/>
    <w:rsid w:val="00D14085"/>
    <w:rsid w:val="00D24A78"/>
    <w:rsid w:val="00D32DCB"/>
    <w:rsid w:val="00D34AD0"/>
    <w:rsid w:val="00D36E35"/>
    <w:rsid w:val="00D36FAC"/>
    <w:rsid w:val="00D40080"/>
    <w:rsid w:val="00D44B0E"/>
    <w:rsid w:val="00D44DE1"/>
    <w:rsid w:val="00D50629"/>
    <w:rsid w:val="00D54D50"/>
    <w:rsid w:val="00D56D7A"/>
    <w:rsid w:val="00D70818"/>
    <w:rsid w:val="00D77584"/>
    <w:rsid w:val="00D865FD"/>
    <w:rsid w:val="00D9263D"/>
    <w:rsid w:val="00D94606"/>
    <w:rsid w:val="00DA152B"/>
    <w:rsid w:val="00DB0F32"/>
    <w:rsid w:val="00DB1B97"/>
    <w:rsid w:val="00DB35D1"/>
    <w:rsid w:val="00DB6A72"/>
    <w:rsid w:val="00DC07A3"/>
    <w:rsid w:val="00DC3908"/>
    <w:rsid w:val="00DC78A8"/>
    <w:rsid w:val="00DD146A"/>
    <w:rsid w:val="00DD2EE8"/>
    <w:rsid w:val="00DD5AC5"/>
    <w:rsid w:val="00DD6DBC"/>
    <w:rsid w:val="00DE1332"/>
    <w:rsid w:val="00DE1D97"/>
    <w:rsid w:val="00DE2A81"/>
    <w:rsid w:val="00DE7E1D"/>
    <w:rsid w:val="00DF1B4E"/>
    <w:rsid w:val="00DF5D53"/>
    <w:rsid w:val="00E026DB"/>
    <w:rsid w:val="00E035C1"/>
    <w:rsid w:val="00E05E16"/>
    <w:rsid w:val="00E10670"/>
    <w:rsid w:val="00E1071F"/>
    <w:rsid w:val="00E249B6"/>
    <w:rsid w:val="00E4016D"/>
    <w:rsid w:val="00E56A12"/>
    <w:rsid w:val="00E70EC2"/>
    <w:rsid w:val="00E773F0"/>
    <w:rsid w:val="00E964A8"/>
    <w:rsid w:val="00E970B5"/>
    <w:rsid w:val="00EA2CD4"/>
    <w:rsid w:val="00EB2216"/>
    <w:rsid w:val="00EB3245"/>
    <w:rsid w:val="00EC2006"/>
    <w:rsid w:val="00EC3AE7"/>
    <w:rsid w:val="00EC41C4"/>
    <w:rsid w:val="00EC751E"/>
    <w:rsid w:val="00ED0395"/>
    <w:rsid w:val="00ED4C09"/>
    <w:rsid w:val="00ED6671"/>
    <w:rsid w:val="00EE3F9E"/>
    <w:rsid w:val="00EE4F15"/>
    <w:rsid w:val="00EE525C"/>
    <w:rsid w:val="00EF229E"/>
    <w:rsid w:val="00EF2C0A"/>
    <w:rsid w:val="00EF2DF8"/>
    <w:rsid w:val="00EF3F41"/>
    <w:rsid w:val="00EF7D9B"/>
    <w:rsid w:val="00F048BA"/>
    <w:rsid w:val="00F10737"/>
    <w:rsid w:val="00F12944"/>
    <w:rsid w:val="00F138E3"/>
    <w:rsid w:val="00F23D1F"/>
    <w:rsid w:val="00F270B2"/>
    <w:rsid w:val="00F309AC"/>
    <w:rsid w:val="00F35232"/>
    <w:rsid w:val="00F454FE"/>
    <w:rsid w:val="00F47893"/>
    <w:rsid w:val="00F52518"/>
    <w:rsid w:val="00F5331E"/>
    <w:rsid w:val="00F56C76"/>
    <w:rsid w:val="00F623BE"/>
    <w:rsid w:val="00F671C0"/>
    <w:rsid w:val="00F831C7"/>
    <w:rsid w:val="00F905E8"/>
    <w:rsid w:val="00F91651"/>
    <w:rsid w:val="00F92D1D"/>
    <w:rsid w:val="00F92E60"/>
    <w:rsid w:val="00F97D6D"/>
    <w:rsid w:val="00F97E01"/>
    <w:rsid w:val="00FB37D7"/>
    <w:rsid w:val="00FC1CCB"/>
    <w:rsid w:val="00FC369B"/>
    <w:rsid w:val="00FC6ED8"/>
    <w:rsid w:val="00FE14B7"/>
    <w:rsid w:val="00FE240A"/>
    <w:rsid w:val="00FE6473"/>
    <w:rsid w:val="00FF5C4C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0E4392"/>
  <w15:docId w15:val="{FA198C02-EBC6-40B9-9937-3BB4023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60B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A37CAB"/>
    <w:pPr>
      <w:outlineLvl w:val="0"/>
    </w:pPr>
    <w:rPr>
      <w:rFonts w:ascii="Calibri" w:eastAsiaTheme="minorEastAsia" w:hAnsi="Calibri" w:cstheme="min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A37CAB"/>
    <w:rPr>
      <w:rFonts w:ascii="Calibri" w:eastAsiaTheme="minorEastAsia" w:hAnsi="Calibri"/>
      <w:b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47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404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404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43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="1" i="0" baseline="0"/>
              <a:t>Shoreham  Village- Occupancy Rates by Month</a:t>
            </a:r>
            <a:endParaRPr lang="en-US" sz="1200"/>
          </a:p>
          <a:p>
            <a:pPr>
              <a:defRPr/>
            </a:pPr>
            <a:r>
              <a:rPr lang="en-US" sz="1200" b="1" i="0" baseline="0"/>
              <a:t>(Q4 Jan - March 21/22)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Occupancy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0.92500000000000004</c:v>
                </c:pt>
                <c:pt idx="1">
                  <c:v>0.9</c:v>
                </c:pt>
                <c:pt idx="2">
                  <c:v>0.90059999999999996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1-4837-9E95-3E8641AEF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19072"/>
        <c:axId val="146064128"/>
      </c:barChart>
      <c:catAx>
        <c:axId val="146019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064128"/>
        <c:crosses val="autoZero"/>
        <c:auto val="1"/>
        <c:lblAlgn val="ctr"/>
        <c:lblOffset val="100"/>
        <c:noMultiLvlLbl val="0"/>
      </c:catAx>
      <c:valAx>
        <c:axId val="146064128"/>
        <c:scaling>
          <c:orientation val="minMax"/>
          <c:max val="1"/>
          <c:min val="0.85000000000000009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6019072"/>
        <c:crosses val="autoZero"/>
        <c:crossBetween val="between"/>
        <c:majorUnit val="0.05"/>
        <c:minorUnit val="4.0000000000000034E-4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200" b="1" i="0" baseline="0"/>
              <a:t>Shoreham Village - Camparison by Quarter</a:t>
            </a:r>
          </a:p>
          <a:p>
            <a:pPr algn="ctr">
              <a:defRPr/>
            </a:pPr>
            <a:r>
              <a:rPr lang="en-US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2020/21</a:t>
            </a:r>
            <a:r>
              <a:rPr lang="en-US" sz="1200" b="1" i="0" baseline="0"/>
              <a:t> vs 2021/22</a:t>
            </a:r>
          </a:p>
        </c:rich>
      </c:tx>
      <c:layout>
        <c:manualLayout>
          <c:xMode val="edge"/>
          <c:yMode val="edge"/>
          <c:x val="0.2779744459025959"/>
          <c:y val="3.57142857142857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1st Qrt</c:v>
                </c:pt>
                <c:pt idx="1">
                  <c:v>2nd Qrt</c:v>
                </c:pt>
                <c:pt idx="2">
                  <c:v>3rd Qrt</c:v>
                </c:pt>
                <c:pt idx="3">
                  <c:v>4th Qrt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0.96399999999999997</c:v>
                </c:pt>
                <c:pt idx="1">
                  <c:v>0.92449999999999999</c:v>
                </c:pt>
                <c:pt idx="2">
                  <c:v>0.92500000000000004</c:v>
                </c:pt>
                <c:pt idx="3">
                  <c:v>0.91710000000000003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5F-493E-8E45-4B05A1192CC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 wrap="square" lIns="18288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1st Qrt</c:v>
                </c:pt>
                <c:pt idx="1">
                  <c:v>2nd Qrt</c:v>
                </c:pt>
                <c:pt idx="2">
                  <c:v>3rd Qrt</c:v>
                </c:pt>
                <c:pt idx="3">
                  <c:v>4th Qrt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0.93320000000000003</c:v>
                </c:pt>
                <c:pt idx="1">
                  <c:v>0.94569999999999999</c:v>
                </c:pt>
                <c:pt idx="2">
                  <c:v>0.94769999999999999</c:v>
                </c:pt>
                <c:pt idx="3">
                  <c:v>0.91069999999999995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5F-493E-8E45-4B05A1192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08320"/>
        <c:axId val="154994176"/>
      </c:barChart>
      <c:catAx>
        <c:axId val="1548083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4994176"/>
        <c:crosses val="autoZero"/>
        <c:auto val="1"/>
        <c:lblAlgn val="ctr"/>
        <c:lblOffset val="100"/>
        <c:noMultiLvlLbl val="0"/>
      </c:catAx>
      <c:valAx>
        <c:axId val="154994176"/>
        <c:scaling>
          <c:orientation val="minMax"/>
          <c:max val="1"/>
          <c:min val="0.9"/>
        </c:scaling>
        <c:delete val="0"/>
        <c:axPos val="l"/>
        <c:majorGridlines/>
        <c:minorGridlines/>
        <c:numFmt formatCode="0.00%" sourceLinked="1"/>
        <c:majorTickMark val="none"/>
        <c:minorTickMark val="none"/>
        <c:tickLblPos val="nextTo"/>
        <c:crossAx val="154808320"/>
        <c:crosses val="autoZero"/>
        <c:crossBetween val="between"/>
        <c:majorUnit val="0.05"/>
        <c:minorUnit val="1.0000000000000005E-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 </a:t>
            </a:r>
            <a:r>
              <a:rPr lang="en-US" sz="1400" b="1" i="0" baseline="0">
                <a:effectLst/>
              </a:rPr>
              <a:t>Shoreham Village - </a:t>
            </a:r>
            <a:r>
              <a:rPr lang="en-US" sz="1400" b="1" i="0" u="none" strike="noStrike" baseline="0">
                <a:effectLst/>
              </a:rPr>
              <a:t>Number of Incidents</a:t>
            </a:r>
            <a:endParaRPr lang="en-US" b="1"/>
          </a:p>
        </c:rich>
      </c:tx>
      <c:layout>
        <c:manualLayout>
          <c:xMode val="edge"/>
          <c:yMode val="edge"/>
          <c:x val="0.28627604197877121"/>
          <c:y val="3.73482726423902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Q4 20/21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49</c:v>
                </c:pt>
                <c:pt idx="2">
                  <c:v>18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6-4266-9D7B-F189F710A54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16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66-4266-9D7B-F189F710A54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16</c:v>
                </c:pt>
                <c:pt idx="1">
                  <c:v>49</c:v>
                </c:pt>
                <c:pt idx="2">
                  <c:v>35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66-4266-9D7B-F189F710A54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28</c:v>
                </c:pt>
                <c:pt idx="1">
                  <c:v>35</c:v>
                </c:pt>
                <c:pt idx="2">
                  <c:v>44</c:v>
                </c:pt>
                <c:pt idx="3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66-4266-9D7B-F189F710A54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Behaviours</c:v>
                </c:pt>
                <c:pt idx="1">
                  <c:v>Falls</c:v>
                </c:pt>
                <c:pt idx="2">
                  <c:v>Med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37</c:v>
                </c:pt>
                <c:pt idx="1">
                  <c:v>47</c:v>
                </c:pt>
                <c:pt idx="2">
                  <c:v>21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66-4266-9D7B-F189F710A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725888"/>
        <c:axId val="176290048"/>
      </c:barChart>
      <c:catAx>
        <c:axId val="16672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290048"/>
        <c:crosses val="autoZero"/>
        <c:auto val="1"/>
        <c:lblAlgn val="ctr"/>
        <c:lblOffset val="100"/>
        <c:noMultiLvlLbl val="0"/>
      </c:catAx>
      <c:valAx>
        <c:axId val="17629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2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Shoreham Village - Resident Incident Rate per 1000 Bed Days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Q4 20/21</c:v>
                </c:pt>
              </c:strCache>
            </c:strRef>
          </c:tx>
          <c:spPr>
            <a:pattFill prst="pct60">
              <a:fgClr>
                <a:schemeClr val="tx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1.63</c:v>
                </c:pt>
                <c:pt idx="1">
                  <c:v>6.67</c:v>
                </c:pt>
                <c:pt idx="2">
                  <c:v>2.4500000000000002</c:v>
                </c:pt>
                <c:pt idx="3">
                  <c:v>4.62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4-47E4-865F-444A6FA4021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0.79</c:v>
                </c:pt>
                <c:pt idx="1">
                  <c:v>6.62</c:v>
                </c:pt>
                <c:pt idx="2">
                  <c:v>2.11</c:v>
                </c:pt>
                <c:pt idx="3">
                  <c:v>6.09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B4-47E4-865F-444A6FA4021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2.0699999999999998</c:v>
                </c:pt>
                <c:pt idx="1">
                  <c:v>6.33</c:v>
                </c:pt>
                <c:pt idx="2">
                  <c:v>4.5199999999999996</c:v>
                </c:pt>
                <c:pt idx="3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B4-47E4-865F-444A6FA4021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3.6</c:v>
                </c:pt>
                <c:pt idx="1">
                  <c:v>4.5</c:v>
                </c:pt>
                <c:pt idx="2">
                  <c:v>5.67</c:v>
                </c:pt>
                <c:pt idx="3">
                  <c:v>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B4-47E4-865F-444A6FA4021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Responsive Behaviours</c:v>
                </c:pt>
                <c:pt idx="1">
                  <c:v>Falls</c:v>
                </c:pt>
                <c:pt idx="2">
                  <c:v>Medication Errors</c:v>
                </c:pt>
                <c:pt idx="3">
                  <c:v>Other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5.07</c:v>
                </c:pt>
                <c:pt idx="1">
                  <c:v>6.44</c:v>
                </c:pt>
                <c:pt idx="2">
                  <c:v>2.87</c:v>
                </c:pt>
                <c:pt idx="3">
                  <c:v>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B4-47E4-865F-444A6FA4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195712"/>
        <c:axId val="229140352"/>
      </c:barChart>
      <c:catAx>
        <c:axId val="2281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140352"/>
        <c:crosses val="autoZero"/>
        <c:auto val="1"/>
        <c:lblAlgn val="ctr"/>
        <c:lblOffset val="100"/>
        <c:noMultiLvlLbl val="0"/>
      </c:catAx>
      <c:valAx>
        <c:axId val="22914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81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Resident</a:t>
            </a:r>
            <a:r>
              <a:rPr lang="en-US" sz="1200" baseline="0"/>
              <a:t> Infections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Q4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7-493A-AB68-FA8D0BB1A0B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97-493A-AB68-FA8D0BB1A0B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97-493A-AB68-FA8D0BB1A0B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97-493A-AB68-FA8D0BB1A0B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64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97-493A-AB68-FA8D0BB1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317888"/>
        <c:axId val="233543168"/>
      </c:barChart>
      <c:catAx>
        <c:axId val="231317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3543168"/>
        <c:crosses val="autoZero"/>
        <c:auto val="1"/>
        <c:lblAlgn val="ctr"/>
        <c:lblOffset val="100"/>
        <c:noMultiLvlLbl val="0"/>
      </c:catAx>
      <c:valAx>
        <c:axId val="233543168"/>
        <c:scaling>
          <c:orientation val="minMax"/>
          <c:max val="7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131788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Infection Rate/</a:t>
            </a:r>
            <a:r>
              <a:rPr lang="en-US" sz="1200" baseline="0"/>
              <a:t>1000 Bed Days</a:t>
            </a:r>
            <a:endParaRPr lang="en-US" sz="1200"/>
          </a:p>
        </c:rich>
      </c:tx>
      <c:layout>
        <c:manualLayout>
          <c:xMode val="edge"/>
          <c:yMode val="edge"/>
          <c:x val="0.25243051349350559"/>
          <c:y val="3.732871190144294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Q4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0.4</c:v>
                </c:pt>
                <c:pt idx="1">
                  <c:v>0.68</c:v>
                </c:pt>
                <c:pt idx="2">
                  <c:v>1.0900000000000001</c:v>
                </c:pt>
                <c:pt idx="3" formatCode="0.00">
                  <c:v>0</c:v>
                </c:pt>
                <c:pt idx="4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B5-4B78-A41C-AF04E04523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0.64</c:v>
                </c:pt>
                <c:pt idx="1">
                  <c:v>0.64</c:v>
                </c:pt>
                <c:pt idx="2">
                  <c:v>1.28</c:v>
                </c:pt>
                <c:pt idx="3" formatCode="0.00">
                  <c:v>0</c:v>
                </c:pt>
                <c:pt idx="4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B5-4B78-A41C-AF04E04523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0.39</c:v>
                </c:pt>
                <c:pt idx="1">
                  <c:v>1.32</c:v>
                </c:pt>
                <c:pt idx="2">
                  <c:v>1.32</c:v>
                </c:pt>
                <c:pt idx="3">
                  <c:v>0.13</c:v>
                </c:pt>
                <c:pt idx="4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B5-4B78-A41C-AF04E04523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0.12</c:v>
                </c:pt>
                <c:pt idx="1">
                  <c:v>0.77</c:v>
                </c:pt>
                <c:pt idx="2">
                  <c:v>0.26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B5-4B78-A41C-AF04E04523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Resp</c:v>
                </c:pt>
                <c:pt idx="1">
                  <c:v>UTI</c:v>
                </c:pt>
                <c:pt idx="2">
                  <c:v>Skin</c:v>
                </c:pt>
                <c:pt idx="3">
                  <c:v>Gastro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8.77</c:v>
                </c:pt>
                <c:pt idx="1">
                  <c:v>0.27</c:v>
                </c:pt>
                <c:pt idx="2">
                  <c:v>0.27</c:v>
                </c:pt>
                <c:pt idx="3">
                  <c:v>0</c:v>
                </c:pt>
                <c:pt idx="4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B5-4B78-A41C-AF04E04523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843904"/>
        <c:axId val="146857984"/>
      </c:barChart>
      <c:catAx>
        <c:axId val="146843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857984"/>
        <c:crosses val="autoZero"/>
        <c:auto val="1"/>
        <c:lblAlgn val="ctr"/>
        <c:lblOffset val="100"/>
        <c:noMultiLvlLbl val="0"/>
      </c:catAx>
      <c:valAx>
        <c:axId val="146857984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684390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Shoreham Village - </a:t>
            </a:r>
            <a:r>
              <a:rPr lang="en-US" sz="1200"/>
              <a:t>Hand</a:t>
            </a:r>
            <a:r>
              <a:rPr lang="en-US" sz="1200" baseline="0"/>
              <a:t> Hygiene </a:t>
            </a:r>
            <a:endParaRPr lang="en-US" sz="12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Q4 20/21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pattFill prst="ltDnDiag">
                <a:fgClr>
                  <a:schemeClr val="tx2">
                    <a:lumMod val="75000"/>
                  </a:schemeClr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0-42FA-4545-946A-AD557E71A10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Sheet1!$B$2</c:f>
              <c:numCache>
                <c:formatCode>0.00%</c:formatCode>
                <c:ptCount val="1"/>
                <c:pt idx="0">
                  <c:v>0.95099999999999996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36-425A-AA76-FB48C433845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Q1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0.94699999999999995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36-425A-AA76-FB48C433845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Q2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Sheet1!$D$2</c:f>
              <c:numCache>
                <c:formatCode>0.00%</c:formatCode>
                <c:ptCount val="1"/>
                <c:pt idx="0">
                  <c:v>0.95699999999999996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36-425A-AA76-FB48C433845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Q3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36-425A-AA76-FB48C433845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Q4 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</c:f>
              <c:strCache>
                <c:ptCount val="1"/>
                <c:pt idx="0">
                  <c:v>Compliance Rate</c:v>
                </c:pt>
              </c:strCache>
            </c:strRef>
          </c:cat>
          <c:val>
            <c:numRef>
              <c:f>Sheet1!$F$2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36-425A-AA76-FB48C4338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172800"/>
        <c:axId val="154701824"/>
      </c:barChart>
      <c:catAx>
        <c:axId val="1521728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4701824"/>
        <c:crosses val="autoZero"/>
        <c:auto val="1"/>
        <c:lblAlgn val="ctr"/>
        <c:lblOffset val="100"/>
        <c:noMultiLvlLbl val="0"/>
      </c:catAx>
      <c:valAx>
        <c:axId val="154701824"/>
        <c:scaling>
          <c:orientation val="minMax"/>
          <c:max val="1"/>
          <c:min val="0.8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152172800"/>
        <c:crosses val="autoZero"/>
        <c:crossBetween val="between"/>
        <c:majorUnit val="5.000000000000001E-2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 baseline="0">
                <a:solidFill>
                  <a:sysClr val="windowText" lastClr="000000"/>
                </a:solidFill>
              </a:rPr>
              <a:t>Shoreham Village - Volunteers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4266841644794412E-2"/>
          <c:y val="0.14116907261592301"/>
          <c:w val="0.89019685039370144"/>
          <c:h val="0.675028676970934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Number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Sheet1!$A$2:$B$6</c:f>
              <c:strCache>
                <c:ptCount val="4"/>
                <c:pt idx="1">
                  <c:v>Active Volunteers</c:v>
                </c:pt>
                <c:pt idx="2">
                  <c:v>New Volunteers</c:v>
                </c:pt>
                <c:pt idx="3">
                  <c:v>Retired/Inactive Volunteers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146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0-474E-9349-BCAAD3DE69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2444800"/>
        <c:axId val="162446336"/>
      </c:barChart>
      <c:catAx>
        <c:axId val="16244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6336"/>
        <c:crosses val="autoZero"/>
        <c:auto val="1"/>
        <c:lblAlgn val="ctr"/>
        <c:lblOffset val="100"/>
        <c:noMultiLvlLbl val="0"/>
      </c:catAx>
      <c:valAx>
        <c:axId val="16244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44800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01FF8-5690-42E3-BA24-74BF37FC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psargenthamer</dc:creator>
  <cp:lastModifiedBy>Tammy Conrad</cp:lastModifiedBy>
  <cp:revision>3</cp:revision>
  <cp:lastPrinted>2018-09-05T02:14:00Z</cp:lastPrinted>
  <dcterms:created xsi:type="dcterms:W3CDTF">2022-05-02T17:15:00Z</dcterms:created>
  <dcterms:modified xsi:type="dcterms:W3CDTF">2022-05-02T17:16:00Z</dcterms:modified>
</cp:coreProperties>
</file>