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81" w:rsidRDefault="00DE2A81" w:rsidP="00DE2A81">
      <w:pPr>
        <w:rPr>
          <w:rFonts w:ascii="Calibri" w:hAnsi="Calibri" w:cs="ArialNarrow"/>
          <w:b/>
        </w:rPr>
      </w:pPr>
      <w:bookmarkStart w:id="0" w:name="_GoBack"/>
      <w:bookmarkEnd w:id="0"/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87268C" w:rsidP="0087268C">
      <w:pPr>
        <w:jc w:val="center"/>
        <w:rPr>
          <w:rFonts w:ascii="Calibri" w:hAnsi="Calibri" w:cs="ArialNarrow"/>
          <w:b/>
        </w:rPr>
      </w:pPr>
      <w:r>
        <w:rPr>
          <w:rFonts w:ascii="Calibri" w:hAnsi="Calibri" w:cs="ArialNarrow"/>
          <w:b/>
          <w:noProof/>
          <w:lang w:val="en-CA" w:eastAsia="en-CA"/>
        </w:rPr>
        <w:drawing>
          <wp:inline distT="0" distB="0" distL="0" distR="0">
            <wp:extent cx="4694555" cy="1798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2C0A" w:rsidRDefault="00EF2C0A" w:rsidP="00DE2A81">
      <w:pPr>
        <w:rPr>
          <w:rFonts w:ascii="Calibri" w:hAnsi="Calibri" w:cs="ArialNarrow"/>
          <w:b/>
        </w:rPr>
      </w:pPr>
    </w:p>
    <w:p w:rsidR="004A63A6" w:rsidRDefault="004A63A6" w:rsidP="00DE2A81">
      <w:pPr>
        <w:rPr>
          <w:rFonts w:ascii="Calibri" w:hAnsi="Calibri" w:cs="ArialNarrow"/>
          <w:b/>
        </w:rPr>
      </w:pPr>
    </w:p>
    <w:p w:rsidR="004A63A6" w:rsidRDefault="004A63A6" w:rsidP="00DE2A81">
      <w:pPr>
        <w:rPr>
          <w:rFonts w:ascii="Calibri" w:hAnsi="Calibri" w:cs="ArialNarrow"/>
          <w:b/>
        </w:rPr>
      </w:pPr>
    </w:p>
    <w:p w:rsidR="004A63A6" w:rsidRDefault="004A63A6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EF2C0A">
      <w:pPr>
        <w:jc w:val="center"/>
        <w:rPr>
          <w:rFonts w:ascii="Calibri" w:hAnsi="Calibri" w:cs="ArialNarrow"/>
          <w:b/>
          <w:sz w:val="48"/>
          <w:szCs w:val="48"/>
        </w:rPr>
      </w:pPr>
      <w:r>
        <w:rPr>
          <w:rFonts w:ascii="Calibri" w:hAnsi="Calibri" w:cs="ArialNarrow"/>
          <w:b/>
          <w:sz w:val="48"/>
          <w:szCs w:val="48"/>
        </w:rPr>
        <w:t>Shoreham Village</w:t>
      </w:r>
    </w:p>
    <w:p w:rsidR="00EF2C0A" w:rsidRDefault="00EF2C0A" w:rsidP="00EF2C0A">
      <w:pPr>
        <w:jc w:val="center"/>
        <w:rPr>
          <w:rFonts w:ascii="Calibri" w:hAnsi="Calibri" w:cs="ArialNarrow"/>
          <w:b/>
          <w:sz w:val="48"/>
          <w:szCs w:val="48"/>
        </w:rPr>
      </w:pPr>
      <w:r>
        <w:rPr>
          <w:rFonts w:ascii="Calibri" w:hAnsi="Calibri" w:cs="ArialNarrow"/>
          <w:b/>
          <w:sz w:val="48"/>
          <w:szCs w:val="48"/>
        </w:rPr>
        <w:t>Resident Care</w:t>
      </w:r>
    </w:p>
    <w:p w:rsidR="00EF2C0A" w:rsidRDefault="00EF2C0A" w:rsidP="00EF2C0A">
      <w:pPr>
        <w:jc w:val="center"/>
        <w:rPr>
          <w:rFonts w:ascii="Calibri" w:hAnsi="Calibri" w:cs="ArialNarrow"/>
          <w:b/>
          <w:sz w:val="48"/>
          <w:szCs w:val="48"/>
        </w:rPr>
      </w:pPr>
      <w:r>
        <w:rPr>
          <w:rFonts w:ascii="Calibri" w:hAnsi="Calibri" w:cs="ArialNarrow"/>
          <w:b/>
          <w:sz w:val="48"/>
          <w:szCs w:val="48"/>
        </w:rPr>
        <w:t>Scorecard</w:t>
      </w:r>
    </w:p>
    <w:p w:rsidR="00EF2C0A" w:rsidRDefault="00EF2C0A" w:rsidP="00EF2C0A">
      <w:pPr>
        <w:jc w:val="center"/>
        <w:rPr>
          <w:rFonts w:ascii="Calibri" w:hAnsi="Calibri" w:cs="ArialNarrow"/>
          <w:b/>
          <w:sz w:val="48"/>
          <w:szCs w:val="48"/>
        </w:rPr>
      </w:pPr>
    </w:p>
    <w:p w:rsidR="00EF2C0A" w:rsidRDefault="00A41C1C" w:rsidP="00EF2C0A">
      <w:pPr>
        <w:jc w:val="center"/>
        <w:rPr>
          <w:rFonts w:ascii="Calibri" w:hAnsi="Calibri" w:cs="ArialNarrow"/>
          <w:b/>
          <w:sz w:val="48"/>
          <w:szCs w:val="48"/>
        </w:rPr>
      </w:pPr>
      <w:r>
        <w:rPr>
          <w:rFonts w:ascii="Calibri" w:hAnsi="Calibri" w:cs="ArialNarrow"/>
          <w:b/>
          <w:sz w:val="48"/>
          <w:szCs w:val="48"/>
        </w:rPr>
        <w:t>1st Quarter 2022/23</w:t>
      </w:r>
    </w:p>
    <w:p w:rsidR="00693F6D" w:rsidRDefault="00693F6D" w:rsidP="00693F6D">
      <w:pPr>
        <w:rPr>
          <w:rFonts w:ascii="Calibri" w:hAnsi="Calibri" w:cs="ArialNarrow"/>
          <w:b/>
          <w:sz w:val="48"/>
          <w:szCs w:val="48"/>
        </w:rPr>
      </w:pPr>
    </w:p>
    <w:p w:rsidR="00EF2C0A" w:rsidRDefault="00EF2C0A" w:rsidP="00DE2A81">
      <w:pPr>
        <w:rPr>
          <w:rFonts w:ascii="Calibri" w:hAnsi="Calibri" w:cs="ArialNarrow"/>
          <w:b/>
          <w:sz w:val="48"/>
          <w:szCs w:val="48"/>
        </w:rPr>
      </w:pPr>
    </w:p>
    <w:p w:rsidR="005B5C4A" w:rsidRPr="00EF2C0A" w:rsidRDefault="005B5C4A" w:rsidP="00DE2A81">
      <w:pPr>
        <w:rPr>
          <w:rFonts w:ascii="Calibri" w:hAnsi="Calibri" w:cs="ArialNarrow"/>
          <w:b/>
          <w:sz w:val="48"/>
          <w:szCs w:val="48"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tbl>
      <w:tblPr>
        <w:tblW w:w="1120" w:type="dxa"/>
        <w:tblLook w:val="05A0" w:firstRow="1" w:lastRow="0" w:firstColumn="1" w:lastColumn="1" w:noHBand="0" w:noVBand="1"/>
      </w:tblPr>
      <w:tblGrid>
        <w:gridCol w:w="1120"/>
      </w:tblGrid>
      <w:tr w:rsidR="00EF2C0A" w:rsidRPr="00EF2C0A" w:rsidTr="002958B0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C0A" w:rsidRPr="00EF2C0A" w:rsidRDefault="00EF2C0A" w:rsidP="00EF2C0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2C0A" w:rsidRPr="00EF2C0A" w:rsidTr="002958B0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C0A" w:rsidRPr="00EF2C0A" w:rsidRDefault="00EF2C0A" w:rsidP="00EF2C0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2C0A" w:rsidRPr="00EF2C0A" w:rsidTr="002958B0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C0A" w:rsidRPr="00EF2C0A" w:rsidRDefault="00EF2C0A" w:rsidP="00EF2C0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2C0A" w:rsidRPr="00EF2C0A" w:rsidTr="002958B0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C0A" w:rsidRPr="00EF2C0A" w:rsidRDefault="00EF2C0A" w:rsidP="00EF2C0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2C0A" w:rsidRPr="00EF2C0A" w:rsidTr="002958B0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C0A" w:rsidRPr="00EF2C0A" w:rsidRDefault="00EF2C0A" w:rsidP="00EF2C0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2C0A" w:rsidRPr="00EF2C0A" w:rsidTr="002958B0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C0A" w:rsidRPr="00EF2C0A" w:rsidRDefault="00EF2C0A" w:rsidP="00EF2C0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2C0A" w:rsidRPr="00EF2C0A" w:rsidTr="002958B0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C0A" w:rsidRPr="00EF2C0A" w:rsidRDefault="00EF2C0A" w:rsidP="00EF2C0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2C0A" w:rsidRPr="00EF2C0A" w:rsidTr="002958B0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C0A" w:rsidRPr="00EF2C0A" w:rsidRDefault="00EF2C0A" w:rsidP="00EF2C0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2C0A" w:rsidRPr="00EF2C0A" w:rsidTr="002958B0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C0A" w:rsidRPr="00EF2C0A" w:rsidRDefault="00EF2C0A" w:rsidP="00EF2C0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2C0A" w:rsidRPr="00EF2C0A" w:rsidTr="002958B0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C0A" w:rsidRPr="00EF2C0A" w:rsidRDefault="00EF2C0A" w:rsidP="00EF2C0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2C0A" w:rsidRPr="00EF2C0A" w:rsidTr="002958B0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C0A" w:rsidRPr="00EF2C0A" w:rsidRDefault="00EF2C0A" w:rsidP="00EF2C0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2C0A" w:rsidRPr="00EF2C0A" w:rsidTr="002958B0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C0A" w:rsidRPr="00EF2C0A" w:rsidRDefault="00EF2C0A" w:rsidP="00EF2C0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EF2C0A" w:rsidRDefault="00EF2C0A" w:rsidP="00DE2A81">
      <w:pPr>
        <w:rPr>
          <w:rFonts w:ascii="Calibri" w:hAnsi="Calibri" w:cs="ArialNarrow"/>
          <w:b/>
        </w:rPr>
      </w:pPr>
    </w:p>
    <w:p w:rsidR="00EF2C0A" w:rsidRPr="00CF1910" w:rsidRDefault="00EF2C0A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 w:rsidRPr="00CF1910">
        <w:rPr>
          <w:rFonts w:ascii="Calibri" w:hAnsi="Calibri" w:cs="ArialNarrow"/>
          <w:sz w:val="32"/>
          <w:szCs w:val="32"/>
        </w:rPr>
        <w:t>Occupancy Rate</w:t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CF1910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  <w:t>2</w:t>
      </w:r>
    </w:p>
    <w:p w:rsidR="00EF2C0A" w:rsidRPr="00CF1910" w:rsidRDefault="00EF2C0A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 w:rsidRPr="00CF1910">
        <w:rPr>
          <w:rFonts w:ascii="Calibri" w:hAnsi="Calibri" w:cs="ArialNarrow"/>
          <w:sz w:val="32"/>
          <w:szCs w:val="32"/>
        </w:rPr>
        <w:t>Incident Rate</w:t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  <w:t>4</w:t>
      </w:r>
    </w:p>
    <w:p w:rsidR="00EF2C0A" w:rsidRPr="00CF1910" w:rsidRDefault="00EF2C0A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 w:rsidRPr="00CF1910">
        <w:rPr>
          <w:rFonts w:ascii="Calibri" w:hAnsi="Calibri" w:cs="ArialNarrow"/>
          <w:sz w:val="32"/>
          <w:szCs w:val="32"/>
        </w:rPr>
        <w:t>Infection Rate</w:t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  <w:t>6</w:t>
      </w:r>
    </w:p>
    <w:p w:rsidR="003A77BE" w:rsidRDefault="003A77BE" w:rsidP="003A77BE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>
        <w:rPr>
          <w:rFonts w:ascii="Calibri" w:hAnsi="Calibri" w:cs="ArialNarrow"/>
          <w:sz w:val="32"/>
          <w:szCs w:val="32"/>
        </w:rPr>
        <w:t>Pressure Injury Summary</w:t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  <w:t>9</w:t>
      </w:r>
    </w:p>
    <w:p w:rsidR="00EF2C0A" w:rsidRDefault="00EF2C0A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 w:rsidRPr="00CF1910">
        <w:rPr>
          <w:rFonts w:ascii="Calibri" w:hAnsi="Calibri" w:cs="ArialNarrow"/>
          <w:sz w:val="32"/>
          <w:szCs w:val="32"/>
        </w:rPr>
        <w:t>Hand Hygiene Rate</w:t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3A77BE">
        <w:rPr>
          <w:rFonts w:ascii="Calibri" w:hAnsi="Calibri" w:cs="ArialNarrow"/>
          <w:sz w:val="32"/>
          <w:szCs w:val="32"/>
        </w:rPr>
        <w:t>10</w:t>
      </w:r>
    </w:p>
    <w:p w:rsidR="00693F6D" w:rsidRPr="00CF1910" w:rsidRDefault="00656859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>
        <w:rPr>
          <w:rFonts w:ascii="Calibri" w:hAnsi="Calibri" w:cs="ArialNarrow"/>
          <w:sz w:val="32"/>
          <w:szCs w:val="32"/>
        </w:rPr>
        <w:t>Volunteers</w:t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 w:rsidR="003A77BE">
        <w:rPr>
          <w:rFonts w:ascii="Calibri" w:hAnsi="Calibri" w:cs="ArialNarrow"/>
          <w:sz w:val="32"/>
          <w:szCs w:val="32"/>
        </w:rPr>
        <w:t>11</w:t>
      </w:r>
    </w:p>
    <w:p w:rsidR="00EF2C0A" w:rsidRPr="00CF1910" w:rsidRDefault="00EF2C0A" w:rsidP="00DE2A81">
      <w:pPr>
        <w:rPr>
          <w:rFonts w:ascii="Calibri" w:hAnsi="Calibri" w:cs="ArialNarrow"/>
        </w:rPr>
      </w:pPr>
    </w:p>
    <w:p w:rsidR="00EF2C0A" w:rsidRPr="00CF1910" w:rsidRDefault="00EF2C0A" w:rsidP="00DE2A81">
      <w:pPr>
        <w:rPr>
          <w:rFonts w:ascii="Calibri" w:hAnsi="Calibri" w:cs="ArialNarrow"/>
        </w:rPr>
      </w:pPr>
    </w:p>
    <w:p w:rsidR="00EF2C0A" w:rsidRPr="00CF1910" w:rsidRDefault="00EF2C0A" w:rsidP="00DE2A81">
      <w:pPr>
        <w:rPr>
          <w:rFonts w:ascii="Calibri" w:hAnsi="Calibri" w:cs="ArialNarrow"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5B5C4A" w:rsidRDefault="005B5C4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2958B0" w:rsidP="002958B0">
      <w:pPr>
        <w:tabs>
          <w:tab w:val="left" w:pos="6252"/>
        </w:tabs>
        <w:rPr>
          <w:rFonts w:ascii="Calibri" w:hAnsi="Calibri" w:cs="ArialNarrow"/>
          <w:b/>
        </w:rPr>
      </w:pPr>
      <w:r>
        <w:rPr>
          <w:rFonts w:ascii="Calibri" w:hAnsi="Calibri" w:cs="ArialNarrow"/>
          <w:b/>
        </w:rPr>
        <w:tab/>
      </w: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7D2620" w:rsidRDefault="007D2620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F51C64" w:rsidRDefault="00F51C64" w:rsidP="00DE2A81">
      <w:pPr>
        <w:rPr>
          <w:rFonts w:ascii="Calibri" w:hAnsi="Calibri" w:cs="ArialNarrow"/>
          <w:b/>
        </w:rPr>
      </w:pPr>
    </w:p>
    <w:p w:rsidR="00F51C64" w:rsidRDefault="00F51C64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BE065B" w:rsidRDefault="007C02F8" w:rsidP="00BE065B">
      <w:pPr>
        <w:pStyle w:val="Heading1"/>
      </w:pPr>
      <w:r>
        <w:t>1.0</w:t>
      </w:r>
      <w:r>
        <w:tab/>
      </w:r>
      <w:r w:rsidR="00BE065B">
        <w:t>Shoreham Village Occupancy Rate Q</w:t>
      </w:r>
      <w:r w:rsidR="00A41C1C">
        <w:t>1 April – June 2022/23</w:t>
      </w:r>
      <w:r w:rsidR="008B5A9E">
        <w:t xml:space="preserve"> </w:t>
      </w:r>
    </w:p>
    <w:p w:rsidR="00BE065B" w:rsidRDefault="00BE065B" w:rsidP="00BE065B">
      <w:pPr>
        <w:rPr>
          <w:rFonts w:ascii="Calibri" w:hAnsi="Calibri" w:cs="ArialNarrow"/>
          <w:b/>
        </w:rPr>
      </w:pPr>
    </w:p>
    <w:p w:rsidR="00BE065B" w:rsidRDefault="00BE065B" w:rsidP="00881F7F">
      <w:pPr>
        <w:pStyle w:val="Heading1"/>
      </w:pPr>
      <w:r w:rsidRPr="00AE20EC">
        <w:t xml:space="preserve">The Average Occupancy Rate for the </w:t>
      </w:r>
      <w:r w:rsidR="00FE6473">
        <w:t>Q</w:t>
      </w:r>
      <w:r w:rsidR="00F51C64">
        <w:t>1</w:t>
      </w:r>
      <w:r w:rsidR="00693F6D">
        <w:t xml:space="preserve"> </w:t>
      </w:r>
      <w:r w:rsidR="00F51C64">
        <w:t>April -</w:t>
      </w:r>
      <w:r w:rsidR="00693F6D">
        <w:t xml:space="preserve"> </w:t>
      </w:r>
      <w:r w:rsidR="00A41C1C">
        <w:t>June 2022/23</w:t>
      </w:r>
      <w:r w:rsidR="00FE6473">
        <w:t xml:space="preserve"> </w:t>
      </w:r>
      <w:r w:rsidRPr="00AE20EC">
        <w:t xml:space="preserve">– </w:t>
      </w:r>
      <w:r w:rsidR="00DB6AB9">
        <w:t>94.9</w:t>
      </w:r>
      <w:r w:rsidR="0039257A">
        <w:t xml:space="preserve">% </w:t>
      </w:r>
      <w:r w:rsidR="00881F7F">
        <w:t>(</w:t>
      </w:r>
      <w:r w:rsidR="00DB6AB9">
        <w:t xml:space="preserve">4.51 </w:t>
      </w:r>
      <w:r w:rsidR="00881F7F">
        <w:t xml:space="preserve">average </w:t>
      </w:r>
      <w:r w:rsidR="00001E76">
        <w:t>vacant beds per day)</w:t>
      </w:r>
      <w:r w:rsidR="00EF3F41">
        <w:t>.</w:t>
      </w:r>
    </w:p>
    <w:p w:rsidR="00BE065B" w:rsidRDefault="00BE065B" w:rsidP="000260BD">
      <w:pPr>
        <w:rPr>
          <w:rFonts w:ascii="Calibri" w:hAnsi="Calibri" w:cs="ArialNarrow"/>
        </w:rPr>
      </w:pPr>
    </w:p>
    <w:p w:rsidR="00BE065B" w:rsidRDefault="00BE065B" w:rsidP="000260BD">
      <w:pPr>
        <w:rPr>
          <w:rFonts w:ascii="Calibri" w:hAnsi="Calibri" w:cs="ArialNarrow"/>
        </w:rPr>
      </w:pPr>
      <w:r w:rsidRPr="000D12E5">
        <w:rPr>
          <w:rFonts w:ascii="Calibri" w:hAnsi="Calibri" w:cs="ArialNarrow"/>
          <w:noProof/>
          <w:bdr w:val="single" w:sz="6" w:space="0" w:color="auto"/>
          <w:lang w:val="en-CA" w:eastAsia="en-CA"/>
        </w:rPr>
        <w:drawing>
          <wp:inline distT="0" distB="0" distL="0" distR="0">
            <wp:extent cx="6126480" cy="3257550"/>
            <wp:effectExtent l="0" t="0" r="762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065B" w:rsidRDefault="00BE065B" w:rsidP="000260BD">
      <w:pPr>
        <w:rPr>
          <w:rFonts w:ascii="Calibri" w:hAnsi="Calibri" w:cs="ArialNarrow"/>
        </w:rPr>
      </w:pPr>
    </w:p>
    <w:p w:rsidR="006A2058" w:rsidRDefault="006A2058" w:rsidP="000260BD">
      <w:pPr>
        <w:rPr>
          <w:rFonts w:ascii="Calibri" w:hAnsi="Calibri" w:cs="ArialNarrow"/>
        </w:rPr>
      </w:pPr>
    </w:p>
    <w:p w:rsidR="000260BD" w:rsidRPr="00C62BFD" w:rsidRDefault="000260BD" w:rsidP="000260BD">
      <w:pPr>
        <w:rPr>
          <w:rFonts w:ascii="Calibri" w:hAnsi="Calibri" w:cs="ArialNarrow"/>
          <w:b/>
        </w:rPr>
      </w:pPr>
      <w:r w:rsidRPr="00C62BFD">
        <w:rPr>
          <w:rFonts w:ascii="Calibri" w:hAnsi="Calibri" w:cs="ArialNarrow"/>
          <w:b/>
        </w:rPr>
        <w:t>Comments:</w:t>
      </w:r>
    </w:p>
    <w:p w:rsidR="006F314C" w:rsidRDefault="006F314C" w:rsidP="000260BD">
      <w:pPr>
        <w:rPr>
          <w:rFonts w:ascii="Calibri" w:hAnsi="Calibri" w:cs="ArialNarrow"/>
        </w:rPr>
      </w:pPr>
    </w:p>
    <w:p w:rsidR="007A7E7D" w:rsidRDefault="00CF4AE4" w:rsidP="00CF4AE4">
      <w:pPr>
        <w:rPr>
          <w:rFonts w:ascii="Calibri" w:hAnsi="Calibri" w:cs="ArialNarrow"/>
        </w:rPr>
      </w:pPr>
      <w:r>
        <w:rPr>
          <w:rFonts w:ascii="Calibri" w:hAnsi="Calibri" w:cs="ArialNarrow"/>
        </w:rPr>
        <w:t xml:space="preserve">The </w:t>
      </w:r>
      <w:r w:rsidR="00F048BA">
        <w:rPr>
          <w:rFonts w:ascii="Calibri" w:hAnsi="Calibri" w:cs="ArialNarrow"/>
        </w:rPr>
        <w:t xml:space="preserve">DHW target </w:t>
      </w:r>
      <w:r>
        <w:rPr>
          <w:rFonts w:ascii="Calibri" w:hAnsi="Calibri" w:cs="ArialNarrow"/>
        </w:rPr>
        <w:t xml:space="preserve">occupancy rate </w:t>
      </w:r>
      <w:r w:rsidR="001D0D53">
        <w:rPr>
          <w:rFonts w:ascii="Calibri" w:hAnsi="Calibri" w:cs="ArialNarrow"/>
        </w:rPr>
        <w:t xml:space="preserve">for budgeting </w:t>
      </w:r>
      <w:r>
        <w:rPr>
          <w:rFonts w:ascii="Calibri" w:hAnsi="Calibri" w:cs="ArialNarrow"/>
        </w:rPr>
        <w:t>i</w:t>
      </w:r>
      <w:r w:rsidR="00F048BA">
        <w:rPr>
          <w:rFonts w:ascii="Calibri" w:hAnsi="Calibri" w:cs="ArialNarrow"/>
        </w:rPr>
        <w:t>s 99.2%</w:t>
      </w:r>
      <w:r w:rsidR="001D0D53">
        <w:rPr>
          <w:rFonts w:ascii="Calibri" w:hAnsi="Calibri" w:cs="ArialNarrow"/>
        </w:rPr>
        <w:t>. F</w:t>
      </w:r>
      <w:r w:rsidR="00F048BA">
        <w:rPr>
          <w:rFonts w:ascii="Calibri" w:hAnsi="Calibri" w:cs="ArialNarrow"/>
        </w:rPr>
        <w:t xml:space="preserve">or Shoreham Village </w:t>
      </w:r>
      <w:r w:rsidR="001D0D53">
        <w:rPr>
          <w:rFonts w:ascii="Calibri" w:hAnsi="Calibri" w:cs="ArialNarrow"/>
        </w:rPr>
        <w:t xml:space="preserve">this </w:t>
      </w:r>
      <w:r w:rsidR="00F048BA">
        <w:rPr>
          <w:rFonts w:ascii="Calibri" w:hAnsi="Calibri" w:cs="ArialNarrow"/>
        </w:rPr>
        <w:t xml:space="preserve">equates to an average of .7 vacant beds per day.  </w:t>
      </w:r>
    </w:p>
    <w:p w:rsidR="007A7E7D" w:rsidRDefault="007A7E7D" w:rsidP="00CF4AE4">
      <w:pPr>
        <w:rPr>
          <w:rFonts w:ascii="Calibri" w:hAnsi="Calibri" w:cs="ArialNarrow"/>
        </w:rPr>
      </w:pPr>
    </w:p>
    <w:p w:rsidR="009848F5" w:rsidRDefault="002B772F" w:rsidP="00CF4AE4">
      <w:pPr>
        <w:rPr>
          <w:rFonts w:ascii="Calibri" w:hAnsi="Calibri" w:cs="ArialNarrow"/>
        </w:rPr>
      </w:pPr>
      <w:r>
        <w:rPr>
          <w:rFonts w:ascii="Calibri" w:hAnsi="Calibri" w:cs="ArialNarrow"/>
        </w:rPr>
        <w:t>The 1st</w:t>
      </w:r>
      <w:r w:rsidR="00F048BA">
        <w:rPr>
          <w:rFonts w:ascii="Calibri" w:hAnsi="Calibri" w:cs="ArialNarrow"/>
        </w:rPr>
        <w:t xml:space="preserve"> quarter occupancy rate </w:t>
      </w:r>
      <w:r w:rsidR="00A41C1C">
        <w:rPr>
          <w:rFonts w:ascii="Calibri" w:hAnsi="Calibri" w:cs="ArialNarrow"/>
        </w:rPr>
        <w:t>for 2022/23</w:t>
      </w:r>
      <w:r>
        <w:rPr>
          <w:rFonts w:ascii="Calibri" w:hAnsi="Calibri" w:cs="ArialNarrow"/>
        </w:rPr>
        <w:t xml:space="preserve"> </w:t>
      </w:r>
      <w:r w:rsidR="00F048BA">
        <w:rPr>
          <w:rFonts w:ascii="Calibri" w:hAnsi="Calibri" w:cs="ArialNarrow"/>
        </w:rPr>
        <w:t xml:space="preserve">was </w:t>
      </w:r>
      <w:r w:rsidR="00954AD5">
        <w:rPr>
          <w:rFonts w:ascii="Calibri" w:hAnsi="Calibri" w:cs="ArialNarrow"/>
        </w:rPr>
        <w:t>94.9% (4.51 average</w:t>
      </w:r>
      <w:r w:rsidR="00DE1D97">
        <w:rPr>
          <w:rFonts w:ascii="Calibri" w:hAnsi="Calibri" w:cs="ArialNarrow"/>
        </w:rPr>
        <w:t xml:space="preserve"> vacant beds per day)</w:t>
      </w:r>
      <w:r w:rsidR="00F048BA">
        <w:rPr>
          <w:rFonts w:ascii="Calibri" w:hAnsi="Calibri" w:cs="ArialNarrow"/>
        </w:rPr>
        <w:t xml:space="preserve">. The </w:t>
      </w:r>
      <w:r w:rsidR="0039257A">
        <w:rPr>
          <w:rFonts w:ascii="Calibri" w:hAnsi="Calibri" w:cs="ArialNarrow"/>
        </w:rPr>
        <w:t xml:space="preserve">rate is </w:t>
      </w:r>
      <w:r>
        <w:rPr>
          <w:rFonts w:ascii="Calibri" w:hAnsi="Calibri" w:cs="ArialNarrow"/>
        </w:rPr>
        <w:t xml:space="preserve">higher </w:t>
      </w:r>
      <w:r w:rsidR="00887E63">
        <w:rPr>
          <w:rFonts w:ascii="Calibri" w:hAnsi="Calibri" w:cs="ArialNarrow"/>
        </w:rPr>
        <w:t xml:space="preserve">than </w:t>
      </w:r>
      <w:r w:rsidR="002622EC">
        <w:rPr>
          <w:rFonts w:ascii="Calibri" w:hAnsi="Calibri" w:cs="ArialNarrow"/>
        </w:rPr>
        <w:t xml:space="preserve">the </w:t>
      </w:r>
      <w:r>
        <w:rPr>
          <w:rFonts w:ascii="Calibri" w:hAnsi="Calibri" w:cs="ArialNarrow"/>
        </w:rPr>
        <w:t>4th</w:t>
      </w:r>
      <w:r w:rsidR="00954AD5">
        <w:rPr>
          <w:rFonts w:ascii="Calibri" w:hAnsi="Calibri" w:cs="ArialNarrow"/>
        </w:rPr>
        <w:t xml:space="preserve"> quarter of 2021/22 (91.07</w:t>
      </w:r>
      <w:r w:rsidR="0008356C">
        <w:rPr>
          <w:rFonts w:ascii="Calibri" w:hAnsi="Calibri" w:cs="ArialNarrow"/>
        </w:rPr>
        <w:t>%)</w:t>
      </w:r>
      <w:r w:rsidR="00954AD5">
        <w:rPr>
          <w:rFonts w:ascii="Calibri" w:hAnsi="Calibri" w:cs="ArialNarrow"/>
        </w:rPr>
        <w:t xml:space="preserve"> and</w:t>
      </w:r>
      <w:r w:rsidR="00ED6671">
        <w:rPr>
          <w:rFonts w:ascii="Calibri" w:hAnsi="Calibri" w:cs="ArialNarrow"/>
        </w:rPr>
        <w:t xml:space="preserve"> </w:t>
      </w:r>
      <w:r w:rsidR="00A41C1C">
        <w:rPr>
          <w:rFonts w:ascii="Calibri" w:hAnsi="Calibri" w:cs="ArialNarrow"/>
        </w:rPr>
        <w:t>lower</w:t>
      </w:r>
      <w:r w:rsidR="00ED6671">
        <w:rPr>
          <w:rFonts w:ascii="Calibri" w:hAnsi="Calibri" w:cs="ArialNarrow"/>
        </w:rPr>
        <w:t xml:space="preserve"> compared</w:t>
      </w:r>
      <w:r w:rsidR="002622EC">
        <w:rPr>
          <w:rFonts w:ascii="Calibri" w:hAnsi="Calibri" w:cs="ArialNarrow"/>
        </w:rPr>
        <w:t xml:space="preserve"> to the </w:t>
      </w:r>
      <w:r w:rsidR="00A41C1C">
        <w:rPr>
          <w:rFonts w:ascii="Calibri" w:hAnsi="Calibri" w:cs="ArialNarrow"/>
        </w:rPr>
        <w:t>same period of 2021/22</w:t>
      </w:r>
      <w:r w:rsidR="00A3371A">
        <w:rPr>
          <w:rFonts w:ascii="Calibri" w:hAnsi="Calibri" w:cs="ArialNarrow"/>
        </w:rPr>
        <w:t xml:space="preserve"> which was </w:t>
      </w:r>
      <w:r w:rsidR="00A41C1C">
        <w:rPr>
          <w:rFonts w:ascii="Calibri" w:hAnsi="Calibri" w:cs="ArialNarrow"/>
        </w:rPr>
        <w:t>93.23</w:t>
      </w:r>
      <w:r w:rsidR="003E57E2">
        <w:rPr>
          <w:rFonts w:ascii="Calibri" w:hAnsi="Calibri" w:cs="ArialNarrow"/>
        </w:rPr>
        <w:t>%</w:t>
      </w:r>
      <w:r w:rsidR="009848F5">
        <w:rPr>
          <w:rFonts w:ascii="Calibri" w:hAnsi="Calibri" w:cs="ArialNarrow"/>
        </w:rPr>
        <w:t xml:space="preserve">.  </w:t>
      </w:r>
      <w:r w:rsidR="00954AD5" w:rsidRPr="00954AD5">
        <w:rPr>
          <w:rFonts w:ascii="Calibri" w:hAnsi="Calibri" w:cs="ArialNarrow"/>
        </w:rPr>
        <w:t xml:space="preserve">This is related to beds held with support of DSLTC &amp; Continuing care for the Resident Room renovation project.  </w:t>
      </w:r>
    </w:p>
    <w:p w:rsidR="000501E8" w:rsidRDefault="000501E8" w:rsidP="00CF4AE4">
      <w:pPr>
        <w:rPr>
          <w:rFonts w:ascii="Calibri" w:hAnsi="Calibri" w:cs="ArialNarrow"/>
        </w:rPr>
      </w:pPr>
    </w:p>
    <w:p w:rsidR="00F048BA" w:rsidRDefault="00F048BA" w:rsidP="00CF4AE4">
      <w:pPr>
        <w:rPr>
          <w:rFonts w:ascii="Calibri" w:hAnsi="Calibri" w:cs="ArialNarrow"/>
        </w:rPr>
      </w:pPr>
      <w:r>
        <w:rPr>
          <w:rFonts w:ascii="Calibri" w:hAnsi="Calibri" w:cs="ArialNarrow"/>
        </w:rPr>
        <w:t>The occupancy rate for the respite bed</w:t>
      </w:r>
      <w:r w:rsidR="009C5733">
        <w:rPr>
          <w:rFonts w:ascii="Calibri" w:hAnsi="Calibri" w:cs="ArialNarrow"/>
        </w:rPr>
        <w:t xml:space="preserve"> show</w:t>
      </w:r>
      <w:r w:rsidR="00D94606">
        <w:rPr>
          <w:rFonts w:ascii="Calibri" w:hAnsi="Calibri" w:cs="ArialNarrow"/>
        </w:rPr>
        <w:t xml:space="preserve">s </w:t>
      </w:r>
      <w:r w:rsidR="00DB6AB9">
        <w:rPr>
          <w:rFonts w:ascii="Calibri" w:hAnsi="Calibri" w:cs="ArialNarrow"/>
        </w:rPr>
        <w:t>a significant increase in u</w:t>
      </w:r>
      <w:r w:rsidR="009C5733">
        <w:rPr>
          <w:rFonts w:ascii="Calibri" w:hAnsi="Calibri" w:cs="ArialNarrow"/>
        </w:rPr>
        <w:t>tilization</w:t>
      </w:r>
      <w:r w:rsidR="00DB6AB9">
        <w:rPr>
          <w:rFonts w:ascii="Calibri" w:hAnsi="Calibri" w:cs="ArialNarrow"/>
        </w:rPr>
        <w:t xml:space="preserve"> when compared to Q1 in the previous two years</w:t>
      </w:r>
      <w:r w:rsidR="009C5733">
        <w:rPr>
          <w:rFonts w:ascii="Calibri" w:hAnsi="Calibri" w:cs="ArialNarrow"/>
        </w:rPr>
        <w:t xml:space="preserve"> as shown </w:t>
      </w:r>
      <w:r>
        <w:rPr>
          <w:rFonts w:ascii="Calibri" w:hAnsi="Calibri" w:cs="ArialNarrow"/>
        </w:rPr>
        <w:t>in Table 1.</w:t>
      </w:r>
      <w:r w:rsidR="00D94606">
        <w:rPr>
          <w:rFonts w:ascii="Calibri" w:hAnsi="Calibri" w:cs="ArialNarrow"/>
        </w:rPr>
        <w:t xml:space="preserve"> </w:t>
      </w:r>
    </w:p>
    <w:p w:rsidR="00F048BA" w:rsidRDefault="00F048BA" w:rsidP="00CF4AE4">
      <w:pPr>
        <w:rPr>
          <w:rFonts w:ascii="Calibri" w:hAnsi="Calibri" w:cs="ArialNarrow"/>
        </w:rPr>
      </w:pPr>
    </w:p>
    <w:p w:rsidR="00F048BA" w:rsidRDefault="007A7E7D" w:rsidP="008B5A9E">
      <w:pPr>
        <w:rPr>
          <w:rFonts w:ascii="Calibri" w:hAnsi="Calibri" w:cs="ArialNarrow"/>
          <w:b/>
        </w:rPr>
      </w:pPr>
      <w:r>
        <w:rPr>
          <w:rFonts w:ascii="Calibri" w:hAnsi="Calibri" w:cs="ArialNarrow"/>
          <w:b/>
        </w:rPr>
        <w:t xml:space="preserve">       </w:t>
      </w:r>
      <w:r w:rsidR="00F048BA" w:rsidRPr="007A7E7D">
        <w:rPr>
          <w:rFonts w:ascii="Calibri" w:hAnsi="Calibri" w:cs="ArialNarrow"/>
          <w:b/>
        </w:rPr>
        <w:t xml:space="preserve">Table 1 </w:t>
      </w:r>
      <w:r w:rsidR="008B5A9E">
        <w:rPr>
          <w:rFonts w:ascii="Calibri" w:hAnsi="Calibri" w:cs="ArialNarrow"/>
          <w:b/>
        </w:rPr>
        <w:t xml:space="preserve"> </w:t>
      </w:r>
      <w:r>
        <w:rPr>
          <w:rFonts w:ascii="Calibri" w:hAnsi="Calibri" w:cs="ArialNarrow"/>
          <w:b/>
        </w:rPr>
        <w:t xml:space="preserve">       </w:t>
      </w:r>
      <w:r w:rsidR="00F048BA" w:rsidRPr="007A7E7D">
        <w:rPr>
          <w:rFonts w:ascii="Calibri" w:hAnsi="Calibri" w:cs="ArialNarrow"/>
          <w:b/>
        </w:rPr>
        <w:t>Respite Bed Occupancy</w:t>
      </w:r>
    </w:p>
    <w:p w:rsidR="00DB6AB9" w:rsidRDefault="00DB6AB9" w:rsidP="008B5A9E">
      <w:pPr>
        <w:rPr>
          <w:rFonts w:ascii="Calibri" w:hAnsi="Calibri" w:cs="ArialNarrow"/>
          <w:b/>
        </w:rPr>
      </w:pPr>
    </w:p>
    <w:tbl>
      <w:tblPr>
        <w:tblStyle w:val="TableGrid"/>
        <w:tblpPr w:leftFromText="180" w:rightFromText="180" w:vertAnchor="text" w:horzAnchor="page" w:tblpX="1152" w:tblpY="83"/>
        <w:tblW w:w="9659" w:type="dxa"/>
        <w:tblLook w:val="04A0" w:firstRow="1" w:lastRow="0" w:firstColumn="1" w:lastColumn="0" w:noHBand="0" w:noVBand="1"/>
      </w:tblPr>
      <w:tblGrid>
        <w:gridCol w:w="1203"/>
        <w:gridCol w:w="1208"/>
        <w:gridCol w:w="1208"/>
        <w:gridCol w:w="1208"/>
        <w:gridCol w:w="1208"/>
        <w:gridCol w:w="1208"/>
        <w:gridCol w:w="1208"/>
        <w:gridCol w:w="1208"/>
      </w:tblGrid>
      <w:tr w:rsidR="00DB6AB9" w:rsidTr="00DB6AB9">
        <w:trPr>
          <w:trHeight w:val="282"/>
        </w:trPr>
        <w:tc>
          <w:tcPr>
            <w:tcW w:w="1203" w:type="dxa"/>
          </w:tcPr>
          <w:p w:rsidR="00DB6AB9" w:rsidRPr="007A7E7D" w:rsidRDefault="00DB6AB9" w:rsidP="009C2EA7">
            <w:pPr>
              <w:rPr>
                <w:rFonts w:ascii="Calibri" w:hAnsi="Calibri" w:cs="ArialNarrow"/>
                <w:b/>
              </w:rPr>
            </w:pPr>
            <w:r w:rsidRPr="007A7E7D">
              <w:rPr>
                <w:rFonts w:ascii="Calibri" w:hAnsi="Calibri" w:cs="ArialNarrow"/>
                <w:b/>
              </w:rPr>
              <w:t>Month</w:t>
            </w:r>
          </w:p>
        </w:tc>
        <w:tc>
          <w:tcPr>
            <w:tcW w:w="1208" w:type="dxa"/>
          </w:tcPr>
          <w:p w:rsidR="00DB6AB9" w:rsidRPr="007A7E7D" w:rsidRDefault="00DB6AB9" w:rsidP="009C2EA7">
            <w:pPr>
              <w:jc w:val="center"/>
              <w:rPr>
                <w:rFonts w:ascii="Calibri" w:hAnsi="Calibri" w:cs="ArialNarrow"/>
                <w:b/>
              </w:rPr>
            </w:pPr>
            <w:r w:rsidRPr="007A7E7D">
              <w:rPr>
                <w:rFonts w:ascii="Calibri" w:hAnsi="Calibri" w:cs="ArialNarrow"/>
                <w:b/>
              </w:rPr>
              <w:t>Occupancy</w:t>
            </w:r>
            <w:r>
              <w:rPr>
                <w:rFonts w:ascii="Calibri" w:hAnsi="Calibri" w:cs="ArialNarrow"/>
                <w:b/>
              </w:rPr>
              <w:t xml:space="preserve"> 2016/17</w:t>
            </w:r>
          </w:p>
        </w:tc>
        <w:tc>
          <w:tcPr>
            <w:tcW w:w="1208" w:type="dxa"/>
          </w:tcPr>
          <w:p w:rsidR="00DB6AB9" w:rsidRPr="007A7E7D" w:rsidRDefault="00DB6AB9" w:rsidP="009C2EA7">
            <w:pPr>
              <w:jc w:val="center"/>
              <w:rPr>
                <w:rFonts w:ascii="Calibri" w:hAnsi="Calibri" w:cs="ArialNarrow"/>
                <w:b/>
              </w:rPr>
            </w:pPr>
            <w:r w:rsidRPr="007A7E7D">
              <w:rPr>
                <w:rFonts w:ascii="Calibri" w:hAnsi="Calibri" w:cs="ArialNarrow"/>
                <w:b/>
              </w:rPr>
              <w:t>Occupancy</w:t>
            </w:r>
            <w:r>
              <w:rPr>
                <w:rFonts w:ascii="Calibri" w:hAnsi="Calibri" w:cs="ArialNarrow"/>
                <w:b/>
              </w:rPr>
              <w:t xml:space="preserve"> 2017/18</w:t>
            </w:r>
          </w:p>
        </w:tc>
        <w:tc>
          <w:tcPr>
            <w:tcW w:w="1208" w:type="dxa"/>
          </w:tcPr>
          <w:p w:rsidR="00DB6AB9" w:rsidRPr="007A7E7D" w:rsidRDefault="00DB6AB9" w:rsidP="009C2EA7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Occupancy 2018/19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 xml:space="preserve">Occupancy  </w:t>
            </w:r>
          </w:p>
          <w:p w:rsidR="00DB6AB9" w:rsidRDefault="00DB6AB9" w:rsidP="009C2EA7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2019/20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Occupancy</w:t>
            </w:r>
          </w:p>
          <w:p w:rsidR="00DB6AB9" w:rsidRDefault="00DB6AB9" w:rsidP="009C2EA7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2020-21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Occupancy</w:t>
            </w:r>
          </w:p>
          <w:p w:rsidR="00DB6AB9" w:rsidRDefault="00DB6AB9" w:rsidP="009C2EA7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2021-22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Occupancy 2022-23</w:t>
            </w:r>
          </w:p>
        </w:tc>
      </w:tr>
      <w:tr w:rsidR="00DB6AB9" w:rsidTr="00DB6AB9">
        <w:trPr>
          <w:trHeight w:val="287"/>
        </w:trPr>
        <w:tc>
          <w:tcPr>
            <w:tcW w:w="1203" w:type="dxa"/>
          </w:tcPr>
          <w:p w:rsidR="00DB6AB9" w:rsidRDefault="00DB6AB9" w:rsidP="009C2EA7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 xml:space="preserve">April 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</w:rPr>
              <w:t>60.0%</w:t>
            </w:r>
          </w:p>
        </w:tc>
        <w:tc>
          <w:tcPr>
            <w:tcW w:w="1208" w:type="dxa"/>
          </w:tcPr>
          <w:p w:rsidR="00DB6AB9" w:rsidRPr="00201B32" w:rsidRDefault="00DB6AB9" w:rsidP="009C2EA7">
            <w:pPr>
              <w:jc w:val="right"/>
            </w:pPr>
            <w:r w:rsidRPr="00201B32">
              <w:t>43.3%</w:t>
            </w:r>
          </w:p>
        </w:tc>
        <w:tc>
          <w:tcPr>
            <w:tcW w:w="1208" w:type="dxa"/>
          </w:tcPr>
          <w:p w:rsidR="00DB6AB9" w:rsidRPr="006F2C1A" w:rsidRDefault="00DB6AB9" w:rsidP="009C2EA7">
            <w:pPr>
              <w:jc w:val="right"/>
            </w:pPr>
            <w:r w:rsidRPr="006F2C1A">
              <w:t>70.0%</w:t>
            </w:r>
          </w:p>
        </w:tc>
        <w:tc>
          <w:tcPr>
            <w:tcW w:w="1208" w:type="dxa"/>
          </w:tcPr>
          <w:p w:rsidR="00DB6AB9" w:rsidRPr="006F2C1A" w:rsidRDefault="00DB6AB9" w:rsidP="009C2EA7">
            <w:pPr>
              <w:jc w:val="right"/>
            </w:pPr>
            <w:r>
              <w:t>0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szCs w:val="22"/>
                <w:lang w:val="en-CA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13.3%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53.3%</w:t>
            </w:r>
          </w:p>
        </w:tc>
      </w:tr>
      <w:tr w:rsidR="00DB6AB9" w:rsidTr="00DB6AB9">
        <w:tc>
          <w:tcPr>
            <w:tcW w:w="1203" w:type="dxa"/>
          </w:tcPr>
          <w:p w:rsidR="00DB6AB9" w:rsidRDefault="00DB6AB9" w:rsidP="009C2EA7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May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71.0%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41.9%</w:t>
            </w:r>
          </w:p>
        </w:tc>
        <w:tc>
          <w:tcPr>
            <w:tcW w:w="1208" w:type="dxa"/>
          </w:tcPr>
          <w:p w:rsidR="00DB6AB9" w:rsidRPr="00201B32" w:rsidRDefault="00DB6AB9" w:rsidP="009C2EA7">
            <w:pPr>
              <w:jc w:val="right"/>
            </w:pPr>
            <w:r w:rsidRPr="00201B32">
              <w:t>12.9%</w:t>
            </w:r>
          </w:p>
        </w:tc>
        <w:tc>
          <w:tcPr>
            <w:tcW w:w="1208" w:type="dxa"/>
          </w:tcPr>
          <w:p w:rsidR="00DB6AB9" w:rsidRPr="006F2C1A" w:rsidRDefault="00DB6AB9" w:rsidP="009C2EA7">
            <w:pPr>
              <w:jc w:val="right"/>
            </w:pPr>
            <w:r w:rsidRPr="006F2C1A">
              <w:t>35.5%</w:t>
            </w:r>
          </w:p>
        </w:tc>
        <w:tc>
          <w:tcPr>
            <w:tcW w:w="1208" w:type="dxa"/>
          </w:tcPr>
          <w:p w:rsidR="00DB6AB9" w:rsidRPr="006F2C1A" w:rsidRDefault="00DB6AB9" w:rsidP="009C2EA7">
            <w:pPr>
              <w:jc w:val="right"/>
            </w:pPr>
            <w:r>
              <w:t>0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0.0%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35.5%</w:t>
            </w:r>
          </w:p>
        </w:tc>
      </w:tr>
      <w:tr w:rsidR="00DB6AB9" w:rsidTr="00DB6AB9">
        <w:tc>
          <w:tcPr>
            <w:tcW w:w="1203" w:type="dxa"/>
          </w:tcPr>
          <w:p w:rsidR="00DB6AB9" w:rsidRDefault="00DB6AB9" w:rsidP="009C2EA7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June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70.0%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80.0%</w:t>
            </w:r>
          </w:p>
        </w:tc>
        <w:tc>
          <w:tcPr>
            <w:tcW w:w="1208" w:type="dxa"/>
          </w:tcPr>
          <w:p w:rsidR="00DB6AB9" w:rsidRPr="00201B32" w:rsidRDefault="00DB6AB9" w:rsidP="009C2EA7">
            <w:pPr>
              <w:jc w:val="right"/>
            </w:pPr>
            <w:r w:rsidRPr="00201B32">
              <w:t>36.7%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</w:pPr>
            <w:r w:rsidRPr="006F2C1A">
              <w:t>80.0%</w:t>
            </w:r>
          </w:p>
        </w:tc>
        <w:tc>
          <w:tcPr>
            <w:tcW w:w="1208" w:type="dxa"/>
          </w:tcPr>
          <w:p w:rsidR="00DB6AB9" w:rsidRPr="006F2C1A" w:rsidRDefault="00DB6AB9" w:rsidP="009C2EA7">
            <w:pPr>
              <w:jc w:val="right"/>
            </w:pPr>
            <w:r>
              <w:t>0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0.0%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83.3%</w:t>
            </w:r>
          </w:p>
        </w:tc>
      </w:tr>
      <w:tr w:rsidR="00DB6AB9" w:rsidTr="00DB6AB9">
        <w:tc>
          <w:tcPr>
            <w:tcW w:w="1203" w:type="dxa"/>
          </w:tcPr>
          <w:p w:rsidR="00DB6AB9" w:rsidRDefault="00DB6AB9" w:rsidP="009C2EA7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July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71.0%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61.3%</w:t>
            </w:r>
          </w:p>
        </w:tc>
        <w:tc>
          <w:tcPr>
            <w:tcW w:w="1208" w:type="dxa"/>
          </w:tcPr>
          <w:p w:rsidR="00DB6AB9" w:rsidRPr="00201B32" w:rsidRDefault="00DB6AB9" w:rsidP="009C2EA7">
            <w:pPr>
              <w:jc w:val="right"/>
            </w:pPr>
            <w:r w:rsidRPr="00201B32">
              <w:t>64.5%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74.2%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29.0%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B6AB9" w:rsidTr="00DB6AB9">
        <w:tc>
          <w:tcPr>
            <w:tcW w:w="1203" w:type="dxa"/>
          </w:tcPr>
          <w:p w:rsidR="00DB6AB9" w:rsidRDefault="00DB6AB9" w:rsidP="009C2EA7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August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38.7%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87.1%</w:t>
            </w:r>
          </w:p>
        </w:tc>
        <w:tc>
          <w:tcPr>
            <w:tcW w:w="1208" w:type="dxa"/>
          </w:tcPr>
          <w:p w:rsidR="00DB6AB9" w:rsidRPr="00201B32" w:rsidRDefault="00DB6AB9" w:rsidP="009C2EA7">
            <w:pPr>
              <w:jc w:val="right"/>
            </w:pPr>
            <w:r w:rsidRPr="00201B32">
              <w:t>51.6%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45.2%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74.2%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B6AB9" w:rsidTr="00DB6AB9">
        <w:tc>
          <w:tcPr>
            <w:tcW w:w="1203" w:type="dxa"/>
          </w:tcPr>
          <w:p w:rsidR="00DB6AB9" w:rsidRDefault="00DB6AB9" w:rsidP="009C2EA7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September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33.3%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93.3%</w:t>
            </w:r>
          </w:p>
        </w:tc>
        <w:tc>
          <w:tcPr>
            <w:tcW w:w="1208" w:type="dxa"/>
          </w:tcPr>
          <w:p w:rsidR="00DB6AB9" w:rsidRPr="00201B32" w:rsidRDefault="00DB6AB9" w:rsidP="009C2EA7">
            <w:pPr>
              <w:jc w:val="right"/>
            </w:pPr>
            <w:r w:rsidRPr="00201B32">
              <w:t>73.3%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20.0%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66.7%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B6AB9" w:rsidTr="00DB6AB9">
        <w:tc>
          <w:tcPr>
            <w:tcW w:w="1203" w:type="dxa"/>
          </w:tcPr>
          <w:p w:rsidR="00DB6AB9" w:rsidRDefault="00DB6AB9" w:rsidP="009C2EA7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October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77.4%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77.4%</w:t>
            </w:r>
          </w:p>
        </w:tc>
        <w:tc>
          <w:tcPr>
            <w:tcW w:w="1208" w:type="dxa"/>
          </w:tcPr>
          <w:p w:rsidR="00DB6AB9" w:rsidRPr="00201B32" w:rsidRDefault="00DB6AB9" w:rsidP="009C2EA7">
            <w:pPr>
              <w:jc w:val="right"/>
            </w:pPr>
            <w:r w:rsidRPr="00201B32">
              <w:t>41.9%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100.0%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B6AB9" w:rsidTr="00DB6AB9">
        <w:tc>
          <w:tcPr>
            <w:tcW w:w="1203" w:type="dxa"/>
          </w:tcPr>
          <w:p w:rsidR="00DB6AB9" w:rsidRDefault="00DB6AB9" w:rsidP="009C2EA7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 xml:space="preserve">November 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40.0%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70.0%</w:t>
            </w:r>
          </w:p>
        </w:tc>
        <w:tc>
          <w:tcPr>
            <w:tcW w:w="1208" w:type="dxa"/>
          </w:tcPr>
          <w:p w:rsidR="00DB6AB9" w:rsidRPr="00201B32" w:rsidRDefault="00DB6AB9" w:rsidP="009C2EA7">
            <w:pPr>
              <w:jc w:val="right"/>
            </w:pPr>
            <w:r w:rsidRPr="00201B32">
              <w:t>33.3%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50.0%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B6AB9" w:rsidTr="00DB6AB9">
        <w:tc>
          <w:tcPr>
            <w:tcW w:w="1203" w:type="dxa"/>
          </w:tcPr>
          <w:p w:rsidR="00DB6AB9" w:rsidRDefault="00DB6AB9" w:rsidP="009C2EA7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December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77.4%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38.7%</w:t>
            </w:r>
          </w:p>
        </w:tc>
        <w:tc>
          <w:tcPr>
            <w:tcW w:w="1208" w:type="dxa"/>
          </w:tcPr>
          <w:p w:rsidR="00DB6AB9" w:rsidRPr="00201B32" w:rsidRDefault="00DB6AB9" w:rsidP="009C2EA7">
            <w:pPr>
              <w:jc w:val="right"/>
            </w:pPr>
            <w:r w:rsidRPr="00201B32">
              <w:t>61.3%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71.0%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32.3%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B6AB9" w:rsidTr="00DB6AB9">
        <w:tc>
          <w:tcPr>
            <w:tcW w:w="1203" w:type="dxa"/>
          </w:tcPr>
          <w:p w:rsidR="00DB6AB9" w:rsidRDefault="00DB6AB9" w:rsidP="009C2EA7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 xml:space="preserve">January 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45.2%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</w:rPr>
              <w:t>35.5%</w:t>
            </w:r>
          </w:p>
        </w:tc>
        <w:tc>
          <w:tcPr>
            <w:tcW w:w="1208" w:type="dxa"/>
          </w:tcPr>
          <w:p w:rsidR="00DB6AB9" w:rsidRPr="00201B32" w:rsidRDefault="00DB6AB9" w:rsidP="009C2EA7">
            <w:pPr>
              <w:jc w:val="right"/>
            </w:pPr>
            <w:r w:rsidRPr="00201B32">
              <w:t>0.0%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45.2%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61.3%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B6AB9" w:rsidTr="00DB6AB9">
        <w:tc>
          <w:tcPr>
            <w:tcW w:w="1203" w:type="dxa"/>
          </w:tcPr>
          <w:p w:rsidR="00DB6AB9" w:rsidRDefault="00DB6AB9" w:rsidP="009C2EA7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February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3.6%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57.1%</w:t>
            </w:r>
          </w:p>
        </w:tc>
        <w:tc>
          <w:tcPr>
            <w:tcW w:w="1208" w:type="dxa"/>
          </w:tcPr>
          <w:p w:rsidR="00DB6AB9" w:rsidRPr="00201B32" w:rsidRDefault="00DB6AB9" w:rsidP="009C2EA7">
            <w:pPr>
              <w:jc w:val="right"/>
            </w:pPr>
            <w:r w:rsidRPr="00201B32">
              <w:t>25.0%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82.1%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B6AB9" w:rsidTr="00DB6AB9">
        <w:tc>
          <w:tcPr>
            <w:tcW w:w="1203" w:type="dxa"/>
          </w:tcPr>
          <w:p w:rsidR="00DB6AB9" w:rsidRDefault="00DB6AB9" w:rsidP="009C2EA7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March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48.4%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45.2%</w:t>
            </w:r>
          </w:p>
        </w:tc>
        <w:tc>
          <w:tcPr>
            <w:tcW w:w="1208" w:type="dxa"/>
          </w:tcPr>
          <w:p w:rsidR="00DB6AB9" w:rsidRPr="00201B32" w:rsidRDefault="00DB6AB9" w:rsidP="009C2EA7">
            <w:pPr>
              <w:jc w:val="right"/>
            </w:pPr>
            <w:r w:rsidRPr="00201B32">
              <w:t>19.4%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45.2%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22.6%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B6AB9" w:rsidTr="00DB6AB9">
        <w:tc>
          <w:tcPr>
            <w:tcW w:w="1203" w:type="dxa"/>
          </w:tcPr>
          <w:p w:rsidR="00DB6AB9" w:rsidRPr="00575ED1" w:rsidRDefault="00DB6AB9" w:rsidP="009C2EA7">
            <w:pPr>
              <w:rPr>
                <w:rFonts w:ascii="Calibri" w:hAnsi="Calibri" w:cs="ArialNarrow"/>
                <w:b/>
              </w:rPr>
            </w:pPr>
            <w:r w:rsidRPr="00575ED1">
              <w:rPr>
                <w:rFonts w:ascii="Calibri" w:hAnsi="Calibri" w:cs="ArialNarrow"/>
                <w:b/>
              </w:rPr>
              <w:t xml:space="preserve">Total </w:t>
            </w:r>
          </w:p>
        </w:tc>
        <w:tc>
          <w:tcPr>
            <w:tcW w:w="1208" w:type="dxa"/>
          </w:tcPr>
          <w:p w:rsidR="00DB6AB9" w:rsidRPr="00575ED1" w:rsidRDefault="00DB6AB9" w:rsidP="009C2EA7">
            <w:pPr>
              <w:jc w:val="right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48%</w:t>
            </w:r>
          </w:p>
        </w:tc>
        <w:tc>
          <w:tcPr>
            <w:tcW w:w="1208" w:type="dxa"/>
          </w:tcPr>
          <w:p w:rsidR="00DB6AB9" w:rsidRPr="00575ED1" w:rsidRDefault="00DB6AB9" w:rsidP="009C2EA7">
            <w:pPr>
              <w:jc w:val="right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62.3%</w:t>
            </w:r>
          </w:p>
        </w:tc>
        <w:tc>
          <w:tcPr>
            <w:tcW w:w="1208" w:type="dxa"/>
          </w:tcPr>
          <w:p w:rsidR="00DB6AB9" w:rsidRPr="0087268C" w:rsidRDefault="00DB6AB9" w:rsidP="009C2EA7">
            <w:pPr>
              <w:jc w:val="right"/>
              <w:rPr>
                <w:b/>
              </w:rPr>
            </w:pPr>
            <w:r w:rsidRPr="0087268C">
              <w:rPr>
                <w:b/>
              </w:rPr>
              <w:t>38.6%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47.4%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2.1%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37.8%</w:t>
            </w:r>
          </w:p>
        </w:tc>
        <w:tc>
          <w:tcPr>
            <w:tcW w:w="1208" w:type="dxa"/>
          </w:tcPr>
          <w:p w:rsidR="00DB6AB9" w:rsidRDefault="00DB6AB9" w:rsidP="009C2EA7">
            <w:pPr>
              <w:jc w:val="right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57%</w:t>
            </w:r>
          </w:p>
        </w:tc>
      </w:tr>
    </w:tbl>
    <w:p w:rsidR="00DB6AB9" w:rsidRPr="007A7E7D" w:rsidRDefault="00DB6AB9" w:rsidP="008B5A9E">
      <w:pPr>
        <w:rPr>
          <w:rFonts w:ascii="Calibri" w:hAnsi="Calibri" w:cs="ArialNarrow"/>
          <w:b/>
        </w:rPr>
      </w:pPr>
    </w:p>
    <w:p w:rsidR="007C02F8" w:rsidRPr="00E539DC" w:rsidRDefault="007C02F8" w:rsidP="007C02F8">
      <w:pPr>
        <w:spacing w:after="200" w:line="276" w:lineRule="auto"/>
        <w:rPr>
          <w:rFonts w:cstheme="minorBidi"/>
          <w:b/>
          <w:sz w:val="24"/>
          <w:szCs w:val="22"/>
        </w:rPr>
      </w:pPr>
      <w:r>
        <w:rPr>
          <w:rFonts w:ascii="Calibri" w:hAnsi="Calibri" w:cs="ArialNarrow"/>
        </w:rPr>
        <w:br w:type="page"/>
      </w:r>
      <w:r w:rsidR="000D12E5" w:rsidRPr="00027301">
        <w:rPr>
          <w:rFonts w:ascii="Calibri" w:hAnsi="Calibri" w:cs="ArialNarrow"/>
          <w:b/>
          <w:sz w:val="24"/>
        </w:rPr>
        <w:t>2</w:t>
      </w:r>
      <w:r w:rsidRPr="00027301">
        <w:rPr>
          <w:rFonts w:cstheme="minorBidi"/>
          <w:b/>
          <w:sz w:val="24"/>
        </w:rPr>
        <w:t>.0</w:t>
      </w:r>
      <w:r>
        <w:rPr>
          <w:rFonts w:cstheme="minorBidi"/>
          <w:b/>
          <w:sz w:val="24"/>
          <w:szCs w:val="22"/>
        </w:rPr>
        <w:tab/>
        <w:t>Shoreham Village</w:t>
      </w:r>
      <w:r w:rsidRPr="00E539DC">
        <w:rPr>
          <w:rFonts w:cstheme="minorBidi"/>
          <w:b/>
          <w:sz w:val="24"/>
          <w:szCs w:val="22"/>
        </w:rPr>
        <w:t xml:space="preserve"> - Resident</w:t>
      </w:r>
      <w:r w:rsidRPr="00E539DC">
        <w:rPr>
          <w:rFonts w:cstheme="minorBidi"/>
          <w:b/>
          <w:bCs/>
          <w:i/>
          <w:iCs/>
          <w:sz w:val="24"/>
          <w:szCs w:val="22"/>
        </w:rPr>
        <w:t xml:space="preserve"> </w:t>
      </w:r>
      <w:r w:rsidRPr="00E539DC">
        <w:rPr>
          <w:rFonts w:cstheme="minorBidi"/>
          <w:b/>
          <w:sz w:val="24"/>
          <w:szCs w:val="22"/>
        </w:rPr>
        <w:t xml:space="preserve">Incidents – </w:t>
      </w:r>
      <w:r w:rsidR="0087268C">
        <w:rPr>
          <w:b/>
        </w:rPr>
        <w:t>Q</w:t>
      </w:r>
      <w:r w:rsidR="00F51C64">
        <w:rPr>
          <w:b/>
        </w:rPr>
        <w:t>1</w:t>
      </w:r>
      <w:r w:rsidR="0087268C">
        <w:rPr>
          <w:b/>
        </w:rPr>
        <w:t xml:space="preserve"> </w:t>
      </w:r>
      <w:r w:rsidR="00F51C64">
        <w:rPr>
          <w:b/>
        </w:rPr>
        <w:t>April</w:t>
      </w:r>
      <w:r w:rsidR="00F92E60">
        <w:rPr>
          <w:b/>
        </w:rPr>
        <w:t xml:space="preserve"> </w:t>
      </w:r>
      <w:r w:rsidR="0087268C">
        <w:rPr>
          <w:b/>
        </w:rPr>
        <w:t xml:space="preserve">- </w:t>
      </w:r>
      <w:r w:rsidR="00A41C1C">
        <w:rPr>
          <w:b/>
        </w:rPr>
        <w:t>June 2022</w:t>
      </w:r>
      <w:r w:rsidR="0087268C">
        <w:rPr>
          <w:b/>
        </w:rPr>
        <w:t>/2</w:t>
      </w:r>
      <w:r w:rsidR="00A41C1C">
        <w:rPr>
          <w:b/>
        </w:rPr>
        <w:t>3</w:t>
      </w:r>
    </w:p>
    <w:tbl>
      <w:tblPr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4271"/>
        <w:gridCol w:w="1135"/>
        <w:gridCol w:w="1187"/>
        <w:gridCol w:w="1159"/>
        <w:gridCol w:w="1080"/>
        <w:gridCol w:w="1243"/>
      </w:tblGrid>
      <w:tr w:rsidR="00F51C64" w:rsidRPr="00F05E23" w:rsidTr="002C178F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C64" w:rsidRPr="00F05E23" w:rsidRDefault="00F51C64" w:rsidP="002A3CF7">
            <w:pPr>
              <w:rPr>
                <w:rFonts w:ascii="Calibri" w:hAnsi="Calibri"/>
                <w:b/>
                <w:bCs/>
                <w:color w:val="000000"/>
              </w:rPr>
            </w:pPr>
            <w:r w:rsidRPr="00F05E23">
              <w:rPr>
                <w:rFonts w:ascii="Calibri" w:hAnsi="Calibri"/>
                <w:b/>
                <w:bCs/>
                <w:color w:val="000000"/>
                <w:szCs w:val="22"/>
              </w:rPr>
              <w:t>Total # of Incidents Per Quarter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C64" w:rsidRDefault="00F51C64" w:rsidP="00F51C64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Q1</w:t>
            </w:r>
          </w:p>
          <w:p w:rsidR="00F51C64" w:rsidRPr="008E070D" w:rsidRDefault="00F51C64" w:rsidP="00A41C1C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</w:t>
            </w:r>
            <w:r w:rsidR="00A41C1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1/22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64" w:rsidRDefault="00F51C64" w:rsidP="002A3CF7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Q1</w:t>
            </w:r>
          </w:p>
          <w:p w:rsidR="00F51C64" w:rsidRPr="008E070D" w:rsidRDefault="00A41C1C" w:rsidP="00F51C64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2022/23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64" w:rsidRDefault="00F51C64" w:rsidP="002A3CF7">
            <w:pPr>
              <w:ind w:left="-108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Q2</w:t>
            </w:r>
          </w:p>
          <w:p w:rsidR="00F51C64" w:rsidRPr="008E070D" w:rsidRDefault="00A41C1C" w:rsidP="002A3CF7">
            <w:pPr>
              <w:ind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2022/23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64" w:rsidRDefault="00F51C64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Q3</w:t>
            </w:r>
          </w:p>
          <w:p w:rsidR="00F51C64" w:rsidRPr="008E070D" w:rsidRDefault="00A41C1C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2022/23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64" w:rsidRDefault="00F51C64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Q4</w:t>
            </w:r>
          </w:p>
          <w:p w:rsidR="00F51C64" w:rsidRDefault="00A41C1C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2022/23</w:t>
            </w:r>
          </w:p>
        </w:tc>
      </w:tr>
      <w:tr w:rsidR="00A41C1C" w:rsidRPr="00716729" w:rsidTr="009C2EA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1C" w:rsidRPr="00F05E23" w:rsidRDefault="00A41C1C" w:rsidP="00A41C1C">
            <w:pPr>
              <w:rPr>
                <w:rFonts w:ascii="Calibri" w:hAnsi="Calibri"/>
                <w:color w:val="000000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Responsive Behaviors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B7703A" w:rsidP="00A41C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ind w:left="-3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C" w:rsidRDefault="00A41C1C" w:rsidP="00A41C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41C1C" w:rsidRPr="00716729" w:rsidTr="009C2EA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1C" w:rsidRPr="00F05E23" w:rsidRDefault="00A41C1C" w:rsidP="00A41C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Cs w:val="22"/>
              </w:rPr>
              <w:t>Falls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B7703A" w:rsidP="00A41C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ind w:left="-3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C" w:rsidRDefault="00A41C1C" w:rsidP="00A41C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41C1C" w:rsidRPr="00716729" w:rsidTr="009C2EA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1C" w:rsidRPr="00F05E23" w:rsidRDefault="00A41C1C" w:rsidP="00A41C1C">
            <w:pPr>
              <w:rPr>
                <w:rFonts w:ascii="Calibri" w:hAnsi="Calibri"/>
                <w:color w:val="000000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Medication Errors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C" w:rsidRPr="00716729" w:rsidRDefault="00D15529" w:rsidP="00A41C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C" w:rsidRPr="00716729" w:rsidRDefault="00A41C1C" w:rsidP="00A41C1C">
            <w:pPr>
              <w:ind w:left="-3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C" w:rsidRDefault="00A41C1C" w:rsidP="00A41C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41C1C" w:rsidRPr="00716729" w:rsidTr="009C2EA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1C" w:rsidRPr="00F05E23" w:rsidRDefault="00A41C1C" w:rsidP="00A41C1C">
            <w:pPr>
              <w:rPr>
                <w:rFonts w:ascii="Calibri" w:hAnsi="Calibri"/>
                <w:color w:val="000000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Other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B7703A" w:rsidP="00A41C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ind w:left="-3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C" w:rsidRDefault="00A41C1C" w:rsidP="00A41C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41C1C" w:rsidRPr="00716729" w:rsidTr="009C2EA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1C" w:rsidRPr="00F05E23" w:rsidRDefault="00A41C1C" w:rsidP="00A41C1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05E23">
              <w:rPr>
                <w:rFonts w:ascii="Calibri" w:hAnsi="Calibri"/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D15529" w:rsidP="00A41C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ind w:left="-3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C" w:rsidRDefault="00A41C1C" w:rsidP="00A41C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51C64" w:rsidRPr="00F05E23" w:rsidTr="002C178F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F51C64" w:rsidRPr="00F05E23" w:rsidRDefault="00F51C64" w:rsidP="00AC4680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51C64" w:rsidRDefault="00F51C64" w:rsidP="00AC468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51C64" w:rsidRPr="008E070D" w:rsidRDefault="00F51C64" w:rsidP="00AC4680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51C64" w:rsidRPr="008E070D" w:rsidRDefault="00F51C64" w:rsidP="00AC4680">
            <w:pPr>
              <w:ind w:left="-38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1C64" w:rsidRDefault="00F51C64" w:rsidP="00AC4680">
            <w:pPr>
              <w:ind w:left="-9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1C64" w:rsidRDefault="00F51C64" w:rsidP="00AC4680">
            <w:pPr>
              <w:ind w:left="-9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1C64" w:rsidRPr="00F05E23" w:rsidTr="002C178F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C64" w:rsidRPr="00F05E23" w:rsidRDefault="00F51C64" w:rsidP="00AC4680">
            <w:pPr>
              <w:rPr>
                <w:rFonts w:ascii="Calibri" w:hAnsi="Calibri"/>
                <w:b/>
                <w:bCs/>
                <w:color w:val="000000"/>
              </w:rPr>
            </w:pPr>
            <w:r w:rsidRPr="00F05E23">
              <w:rPr>
                <w:rFonts w:ascii="Calibri" w:hAnsi="Calibri"/>
                <w:b/>
                <w:bCs/>
                <w:color w:val="000000"/>
                <w:szCs w:val="22"/>
              </w:rPr>
              <w:t>Incident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 xml:space="preserve"> Rate </w:t>
            </w:r>
            <w:r w:rsidRPr="00F05E23">
              <w:rPr>
                <w:rFonts w:ascii="Calibri" w:hAnsi="Calibri"/>
                <w:b/>
                <w:bCs/>
                <w:color w:val="000000"/>
                <w:szCs w:val="22"/>
              </w:rPr>
              <w:t>Per 1000 Resident Days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C64" w:rsidRDefault="00F51C64" w:rsidP="00F51C64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Q1</w:t>
            </w:r>
          </w:p>
          <w:p w:rsidR="00F51C64" w:rsidRPr="008E070D" w:rsidRDefault="00A41C1C" w:rsidP="00F51C64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64" w:rsidRDefault="00F51C64" w:rsidP="002A3CF7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Q1</w:t>
            </w:r>
          </w:p>
          <w:p w:rsidR="00F51C64" w:rsidRPr="008E070D" w:rsidRDefault="00F51C64" w:rsidP="00A41C1C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</w:t>
            </w:r>
            <w:r w:rsidR="00A41C1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2/23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64" w:rsidRDefault="00F51C64" w:rsidP="002A3CF7">
            <w:pPr>
              <w:ind w:left="-108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Q2</w:t>
            </w:r>
          </w:p>
          <w:p w:rsidR="00F51C64" w:rsidRPr="008E070D" w:rsidRDefault="00A41C1C" w:rsidP="002A3CF7">
            <w:pPr>
              <w:ind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2022/23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64" w:rsidRDefault="00F51C64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Q3</w:t>
            </w:r>
          </w:p>
          <w:p w:rsidR="00F51C64" w:rsidRPr="008E070D" w:rsidRDefault="00A41C1C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2022/23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64" w:rsidRDefault="00F51C64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Q4</w:t>
            </w:r>
          </w:p>
          <w:p w:rsidR="00F51C64" w:rsidRDefault="00A41C1C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2022/23</w:t>
            </w:r>
          </w:p>
        </w:tc>
      </w:tr>
      <w:tr w:rsidR="00A41C1C" w:rsidRPr="00F05E23" w:rsidTr="009C2EA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1C" w:rsidRPr="00F05E23" w:rsidRDefault="00A41C1C" w:rsidP="00A41C1C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Responsive Behaviors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BC3941" w:rsidP="00A41C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41C1C" w:rsidRPr="00F05E23" w:rsidTr="009C2EA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1C" w:rsidRPr="0056156C" w:rsidRDefault="00A41C1C" w:rsidP="00A41C1C">
            <w:pPr>
              <w:spacing w:line="276" w:lineRule="auto"/>
              <w:rPr>
                <w:rFonts w:ascii="Calibri" w:hAnsi="Calibri"/>
                <w:color w:val="000000"/>
                <w:sz w:val="4"/>
                <w:szCs w:val="4"/>
              </w:rPr>
            </w:pPr>
          </w:p>
          <w:p w:rsidR="00A41C1C" w:rsidRPr="00F05E23" w:rsidRDefault="00A41C1C" w:rsidP="00A41C1C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Falls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BC3941" w:rsidP="00A41C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5.98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41C1C" w:rsidRPr="00F05E23" w:rsidTr="009C2EA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1C" w:rsidRPr="0056156C" w:rsidRDefault="00A41C1C" w:rsidP="00A41C1C">
            <w:pPr>
              <w:spacing w:line="276" w:lineRule="auto"/>
              <w:rPr>
                <w:rFonts w:ascii="Calibri" w:hAnsi="Calibri"/>
                <w:color w:val="000000"/>
                <w:sz w:val="8"/>
                <w:szCs w:val="8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Medication Errors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BC3941" w:rsidP="00A41C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3.38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41C1C" w:rsidRPr="00F05E23" w:rsidTr="009C2EA7">
        <w:trPr>
          <w:trHeight w:val="70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1C" w:rsidRPr="00540195" w:rsidRDefault="00A41C1C" w:rsidP="00A41C1C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540195">
              <w:rPr>
                <w:rFonts w:ascii="Calibri" w:hAnsi="Calibri"/>
                <w:color w:val="000000"/>
                <w:szCs w:val="22"/>
              </w:rPr>
              <w:t>Other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6.09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BC3941" w:rsidP="00A41C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41C1C" w:rsidRPr="00F05E23" w:rsidTr="009C2EA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1C" w:rsidRPr="00F05E23" w:rsidRDefault="00A41C1C" w:rsidP="00A41C1C">
            <w:pPr>
              <w:spacing w:line="276" w:lineRule="auto"/>
              <w:ind w:right="-18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 xml:space="preserve">Total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15.61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BC3941" w:rsidP="00A41C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21.58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C1C" w:rsidRPr="00716729" w:rsidRDefault="00A41C1C" w:rsidP="00A41C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7C02F8" w:rsidRDefault="007C02F8" w:rsidP="007C02F8">
      <w:pPr>
        <w:spacing w:line="276" w:lineRule="auto"/>
      </w:pPr>
    </w:p>
    <w:p w:rsidR="00CF1910" w:rsidRDefault="00CF1910" w:rsidP="007C02F8">
      <w:pPr>
        <w:spacing w:line="276" w:lineRule="auto"/>
      </w:pPr>
    </w:p>
    <w:p w:rsidR="00CF1910" w:rsidRDefault="00CF1910" w:rsidP="007C02F8">
      <w:pPr>
        <w:spacing w:line="276" w:lineRule="auto"/>
      </w:pPr>
    </w:p>
    <w:p w:rsidR="007C02F8" w:rsidRDefault="007C02F8" w:rsidP="007C02F8">
      <w:pPr>
        <w:rPr>
          <w:rFonts w:ascii="Calibri" w:hAnsi="Calibri" w:cs="ArialNarrow"/>
          <w:b/>
          <w:sz w:val="24"/>
        </w:rPr>
      </w:pPr>
      <w:r w:rsidRPr="0038381D">
        <w:rPr>
          <w:rFonts w:ascii="Calibri" w:hAnsi="Calibri" w:cs="ArialNarrow"/>
          <w:b/>
          <w:noProof/>
          <w:sz w:val="24"/>
          <w:bdr w:val="single" w:sz="8" w:space="0" w:color="auto"/>
          <w:lang w:val="en-CA" w:eastAsia="en-CA"/>
        </w:rPr>
        <w:drawing>
          <wp:inline distT="0" distB="0" distL="0" distR="0">
            <wp:extent cx="6335395" cy="3827417"/>
            <wp:effectExtent l="0" t="0" r="8255" b="190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C02F8" w:rsidRDefault="007C02F8" w:rsidP="007C02F8">
      <w:pPr>
        <w:rPr>
          <w:rFonts w:ascii="Calibri" w:hAnsi="Calibri" w:cs="ArialNarrow"/>
          <w:b/>
          <w:sz w:val="24"/>
        </w:rPr>
      </w:pPr>
    </w:p>
    <w:p w:rsidR="007C02F8" w:rsidRDefault="007C02F8" w:rsidP="007C02F8">
      <w:pPr>
        <w:rPr>
          <w:rFonts w:ascii="Calibri" w:hAnsi="Calibri" w:cs="ArialNarrow"/>
          <w:b/>
          <w:sz w:val="24"/>
        </w:rPr>
      </w:pPr>
    </w:p>
    <w:p w:rsidR="007C02F8" w:rsidRDefault="007C02F8" w:rsidP="007C02F8">
      <w:pPr>
        <w:rPr>
          <w:rFonts w:ascii="Calibri" w:hAnsi="Calibri" w:cs="ArialNarrow"/>
          <w:b/>
          <w:sz w:val="24"/>
        </w:rPr>
      </w:pPr>
    </w:p>
    <w:p w:rsidR="007C02F8" w:rsidRDefault="007C02F8" w:rsidP="007C02F8">
      <w:pPr>
        <w:rPr>
          <w:rFonts w:ascii="Calibri" w:hAnsi="Calibri" w:cs="ArialNarrow"/>
          <w:b/>
          <w:sz w:val="24"/>
        </w:rPr>
      </w:pPr>
    </w:p>
    <w:p w:rsidR="007C02F8" w:rsidRDefault="007C02F8" w:rsidP="007C02F8">
      <w:pPr>
        <w:rPr>
          <w:rFonts w:ascii="Calibri" w:hAnsi="Calibri" w:cs="ArialNarrow"/>
          <w:b/>
          <w:sz w:val="24"/>
        </w:rPr>
      </w:pPr>
      <w:r w:rsidRPr="006A52C1">
        <w:rPr>
          <w:rFonts w:ascii="Calibri" w:hAnsi="Calibri" w:cs="ArialNarrow"/>
          <w:b/>
          <w:noProof/>
          <w:sz w:val="24"/>
          <w:bdr w:val="single" w:sz="8" w:space="0" w:color="auto"/>
          <w:lang w:val="en-CA" w:eastAsia="en-CA"/>
        </w:rPr>
        <w:drawing>
          <wp:inline distT="0" distB="0" distL="0" distR="0">
            <wp:extent cx="6126480" cy="3688080"/>
            <wp:effectExtent l="0" t="0" r="7620" b="762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331B" w:rsidRDefault="0082331B" w:rsidP="007C02F8">
      <w:pPr>
        <w:rPr>
          <w:rFonts w:ascii="Calibri" w:hAnsi="Calibri" w:cs="ArialNarrow"/>
          <w:b/>
          <w:sz w:val="24"/>
        </w:rPr>
      </w:pPr>
    </w:p>
    <w:p w:rsidR="001206C5" w:rsidRDefault="001206C5" w:rsidP="007C02F8">
      <w:pPr>
        <w:rPr>
          <w:rFonts w:ascii="Calibri" w:hAnsi="Calibri" w:cs="ArialNarrow"/>
          <w:b/>
          <w:szCs w:val="22"/>
        </w:rPr>
      </w:pPr>
    </w:p>
    <w:p w:rsidR="006033F1" w:rsidRDefault="007C02F8" w:rsidP="00511E80">
      <w:pPr>
        <w:rPr>
          <w:rFonts w:ascii="Calibri" w:hAnsi="Calibri" w:cs="ArialNarrow"/>
          <w:b/>
          <w:szCs w:val="22"/>
        </w:rPr>
      </w:pPr>
      <w:r w:rsidRPr="009400B4">
        <w:rPr>
          <w:rFonts w:ascii="Calibri" w:hAnsi="Calibri" w:cs="ArialNarrow"/>
          <w:b/>
          <w:szCs w:val="22"/>
        </w:rPr>
        <w:t>Comments:</w:t>
      </w:r>
      <w:r w:rsidR="006033F1">
        <w:rPr>
          <w:rFonts w:ascii="Calibri" w:hAnsi="Calibri" w:cs="ArialNarrow"/>
          <w:b/>
          <w:szCs w:val="22"/>
        </w:rPr>
        <w:t xml:space="preserve"> </w:t>
      </w:r>
    </w:p>
    <w:p w:rsidR="00276764" w:rsidRDefault="00276764" w:rsidP="00511E80">
      <w:pPr>
        <w:rPr>
          <w:rFonts w:ascii="Calibri" w:hAnsi="Calibri" w:cs="ArialNarrow"/>
          <w:b/>
          <w:szCs w:val="22"/>
        </w:rPr>
      </w:pPr>
    </w:p>
    <w:p w:rsidR="00B3600D" w:rsidRDefault="00BC3941" w:rsidP="00511E80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>2021-2022</w:t>
      </w:r>
      <w:r w:rsidR="00644296">
        <w:rPr>
          <w:rFonts w:ascii="Calibri" w:hAnsi="Calibri" w:cs="ArialNarrow"/>
          <w:szCs w:val="22"/>
        </w:rPr>
        <w:t xml:space="preserve"> was a</w:t>
      </w:r>
      <w:r>
        <w:rPr>
          <w:rFonts w:ascii="Calibri" w:hAnsi="Calibri" w:cs="ArialNarrow"/>
          <w:szCs w:val="22"/>
        </w:rPr>
        <w:t xml:space="preserve">nother year characterized by </w:t>
      </w:r>
      <w:r w:rsidR="00644296">
        <w:rPr>
          <w:rFonts w:ascii="Calibri" w:hAnsi="Calibri" w:cs="ArialNarrow"/>
          <w:szCs w:val="22"/>
        </w:rPr>
        <w:t>resilience</w:t>
      </w:r>
      <w:r w:rsidR="000C4BFF">
        <w:rPr>
          <w:rFonts w:ascii="Calibri" w:hAnsi="Calibri" w:cs="ArialNarrow"/>
          <w:szCs w:val="22"/>
        </w:rPr>
        <w:t xml:space="preserve"> and adaptation.</w:t>
      </w:r>
      <w:r w:rsidR="00644296">
        <w:rPr>
          <w:rFonts w:ascii="Calibri" w:hAnsi="Calibri" w:cs="ArialNarrow"/>
          <w:szCs w:val="22"/>
        </w:rPr>
        <w:t xml:space="preserve"> Shoreham </w:t>
      </w:r>
      <w:r w:rsidR="000C4BFF">
        <w:rPr>
          <w:rFonts w:ascii="Calibri" w:hAnsi="Calibri" w:cs="ArialNarrow"/>
          <w:szCs w:val="22"/>
        </w:rPr>
        <w:t xml:space="preserve">supported the residents and their families through the uncertainly of changing LTC Guidelines and Public Health directives </w:t>
      </w:r>
      <w:r>
        <w:rPr>
          <w:rFonts w:ascii="Calibri" w:hAnsi="Calibri" w:cs="ArialNarrow"/>
          <w:szCs w:val="22"/>
        </w:rPr>
        <w:t>including the loosening of COVID restrictions and a slow return to a new normal</w:t>
      </w:r>
      <w:r w:rsidR="00C442D7">
        <w:rPr>
          <w:rFonts w:ascii="Calibri" w:hAnsi="Calibri" w:cs="ArialNarrow"/>
          <w:szCs w:val="22"/>
        </w:rPr>
        <w:t>. Shoreham</w:t>
      </w:r>
      <w:r w:rsidR="000C4BFF">
        <w:rPr>
          <w:rFonts w:ascii="Calibri" w:hAnsi="Calibri" w:cs="ArialNarrow"/>
          <w:szCs w:val="22"/>
        </w:rPr>
        <w:t xml:space="preserve"> </w:t>
      </w:r>
      <w:r>
        <w:rPr>
          <w:rFonts w:ascii="Calibri" w:hAnsi="Calibri" w:cs="ArialNarrow"/>
          <w:szCs w:val="22"/>
        </w:rPr>
        <w:t>continues to employ</w:t>
      </w:r>
      <w:r w:rsidR="000C4BFF">
        <w:rPr>
          <w:rFonts w:ascii="Calibri" w:hAnsi="Calibri" w:cs="ArialNarrow"/>
          <w:szCs w:val="22"/>
        </w:rPr>
        <w:t xml:space="preserve"> required protocols t</w:t>
      </w:r>
      <w:r w:rsidR="00B3600D">
        <w:rPr>
          <w:rFonts w:ascii="Calibri" w:hAnsi="Calibri" w:cs="ArialNarrow"/>
          <w:szCs w:val="22"/>
        </w:rPr>
        <w:t>o k</w:t>
      </w:r>
      <w:r w:rsidR="007D6EAA">
        <w:rPr>
          <w:rFonts w:ascii="Calibri" w:hAnsi="Calibri" w:cs="ArialNarrow"/>
          <w:szCs w:val="22"/>
        </w:rPr>
        <w:t>eep staff and residents safe</w:t>
      </w:r>
      <w:r w:rsidR="00B3600D">
        <w:rPr>
          <w:rFonts w:ascii="Calibri" w:hAnsi="Calibri" w:cs="ArialNarrow"/>
          <w:szCs w:val="22"/>
        </w:rPr>
        <w:t xml:space="preserve"> while continuing to </w:t>
      </w:r>
      <w:r w:rsidR="00C442D7">
        <w:rPr>
          <w:rFonts w:ascii="Calibri" w:hAnsi="Calibri" w:cs="ArialNarrow"/>
          <w:szCs w:val="22"/>
        </w:rPr>
        <w:t xml:space="preserve">provide </w:t>
      </w:r>
      <w:r w:rsidR="00B3600D">
        <w:rPr>
          <w:rFonts w:ascii="Calibri" w:hAnsi="Calibri" w:cs="ArialNarrow"/>
          <w:szCs w:val="22"/>
        </w:rPr>
        <w:t>a high standard of quality care</w:t>
      </w:r>
      <w:r w:rsidR="00C442D7">
        <w:rPr>
          <w:rFonts w:ascii="Calibri" w:hAnsi="Calibri" w:cs="ArialNarrow"/>
          <w:szCs w:val="22"/>
        </w:rPr>
        <w:t xml:space="preserve"> as evidenced by our quality indicators. </w:t>
      </w:r>
    </w:p>
    <w:p w:rsidR="00B3600D" w:rsidRDefault="00B3600D" w:rsidP="00511E80">
      <w:pPr>
        <w:rPr>
          <w:rFonts w:ascii="Calibri" w:hAnsi="Calibri" w:cs="ArialNarrow"/>
          <w:szCs w:val="22"/>
        </w:rPr>
      </w:pPr>
    </w:p>
    <w:p w:rsidR="007C02F8" w:rsidRDefault="000474DA" w:rsidP="007C02F8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>Quarterly, t</w:t>
      </w:r>
      <w:r w:rsidR="007C02F8" w:rsidRPr="009400B4">
        <w:rPr>
          <w:rFonts w:ascii="Calibri" w:hAnsi="Calibri" w:cs="ArialNarrow"/>
          <w:szCs w:val="22"/>
        </w:rPr>
        <w:t xml:space="preserve">he number </w:t>
      </w:r>
      <w:r w:rsidR="00BC3941">
        <w:rPr>
          <w:rFonts w:ascii="Calibri" w:hAnsi="Calibri" w:cs="ArialNarrow"/>
          <w:szCs w:val="22"/>
        </w:rPr>
        <w:t>(166</w:t>
      </w:r>
      <w:r>
        <w:rPr>
          <w:rFonts w:ascii="Calibri" w:hAnsi="Calibri" w:cs="ArialNarrow"/>
          <w:szCs w:val="22"/>
        </w:rPr>
        <w:t xml:space="preserve">) </w:t>
      </w:r>
      <w:r w:rsidR="007C02F8" w:rsidRPr="009400B4">
        <w:rPr>
          <w:rFonts w:ascii="Calibri" w:hAnsi="Calibri" w:cs="ArialNarrow"/>
          <w:szCs w:val="22"/>
        </w:rPr>
        <w:t xml:space="preserve">and rate of incidents have </w:t>
      </w:r>
      <w:r w:rsidR="00262A94">
        <w:rPr>
          <w:rFonts w:ascii="Calibri" w:hAnsi="Calibri" w:cs="ArialNarrow"/>
          <w:szCs w:val="22"/>
        </w:rPr>
        <w:t>increased</w:t>
      </w:r>
      <w:r w:rsidR="008E6C0F">
        <w:rPr>
          <w:rFonts w:ascii="Calibri" w:hAnsi="Calibri" w:cs="ArialNarrow"/>
          <w:szCs w:val="22"/>
        </w:rPr>
        <w:t xml:space="preserve"> </w:t>
      </w:r>
      <w:r w:rsidR="0094473E">
        <w:rPr>
          <w:rFonts w:ascii="Calibri" w:hAnsi="Calibri" w:cs="ArialNarrow"/>
          <w:szCs w:val="22"/>
        </w:rPr>
        <w:t xml:space="preserve">over the last quarter </w:t>
      </w:r>
      <w:r w:rsidR="00BC3941">
        <w:rPr>
          <w:rFonts w:ascii="Calibri" w:hAnsi="Calibri" w:cs="ArialNarrow"/>
          <w:szCs w:val="22"/>
        </w:rPr>
        <w:t>(146</w:t>
      </w:r>
      <w:r w:rsidR="00511E80">
        <w:rPr>
          <w:rFonts w:ascii="Calibri" w:hAnsi="Calibri" w:cs="ArialNarrow"/>
          <w:szCs w:val="22"/>
        </w:rPr>
        <w:t xml:space="preserve">) </w:t>
      </w:r>
      <w:r w:rsidR="008D408C">
        <w:rPr>
          <w:rFonts w:ascii="Calibri" w:hAnsi="Calibri" w:cs="ArialNarrow"/>
          <w:szCs w:val="22"/>
        </w:rPr>
        <w:t xml:space="preserve">and </w:t>
      </w:r>
      <w:r w:rsidR="00BC3941">
        <w:rPr>
          <w:rFonts w:ascii="Calibri" w:hAnsi="Calibri" w:cs="ArialNarrow"/>
          <w:szCs w:val="22"/>
        </w:rPr>
        <w:t>increased</w:t>
      </w:r>
      <w:r w:rsidR="0094473E">
        <w:rPr>
          <w:rFonts w:ascii="Calibri" w:hAnsi="Calibri" w:cs="ArialNarrow"/>
          <w:szCs w:val="22"/>
        </w:rPr>
        <w:t xml:space="preserve"> over the same period of last year</w:t>
      </w:r>
      <w:r w:rsidR="00BC3941">
        <w:rPr>
          <w:rFonts w:ascii="Calibri" w:hAnsi="Calibri" w:cs="ArialNarrow"/>
          <w:szCs w:val="22"/>
        </w:rPr>
        <w:t xml:space="preserve"> (118</w:t>
      </w:r>
      <w:r w:rsidR="00511E80">
        <w:rPr>
          <w:rFonts w:ascii="Calibri" w:hAnsi="Calibri" w:cs="ArialNarrow"/>
          <w:szCs w:val="22"/>
        </w:rPr>
        <w:t>)</w:t>
      </w:r>
      <w:r w:rsidR="0094473E">
        <w:rPr>
          <w:rFonts w:ascii="Calibri" w:hAnsi="Calibri" w:cs="ArialNarrow"/>
          <w:szCs w:val="22"/>
        </w:rPr>
        <w:t xml:space="preserve">.  </w:t>
      </w:r>
      <w:r w:rsidR="00246F18">
        <w:rPr>
          <w:rFonts w:ascii="Calibri" w:hAnsi="Calibri" w:cs="ArialNarrow"/>
          <w:szCs w:val="22"/>
        </w:rPr>
        <w:t>T</w:t>
      </w:r>
      <w:r w:rsidR="00006395">
        <w:rPr>
          <w:rFonts w:ascii="Calibri" w:hAnsi="Calibri" w:cs="ArialNarrow"/>
          <w:szCs w:val="22"/>
        </w:rPr>
        <w:t>h</w:t>
      </w:r>
      <w:r w:rsidR="00A9520E">
        <w:rPr>
          <w:rFonts w:ascii="Calibri" w:hAnsi="Calibri" w:cs="ArialNarrow"/>
          <w:szCs w:val="22"/>
        </w:rPr>
        <w:t>e number of incidents per wing were</w:t>
      </w:r>
      <w:r w:rsidR="006A2382">
        <w:rPr>
          <w:rFonts w:ascii="Calibri" w:hAnsi="Calibri" w:cs="ArialNarrow"/>
          <w:szCs w:val="22"/>
        </w:rPr>
        <w:t>: A –</w:t>
      </w:r>
      <w:r w:rsidR="00246F18">
        <w:rPr>
          <w:rFonts w:ascii="Calibri" w:hAnsi="Calibri" w:cs="ArialNarrow"/>
          <w:szCs w:val="22"/>
        </w:rPr>
        <w:t xml:space="preserve"> 16</w:t>
      </w:r>
      <w:r w:rsidR="00006395">
        <w:rPr>
          <w:rFonts w:ascii="Calibri" w:hAnsi="Calibri" w:cs="ArialNarrow"/>
          <w:szCs w:val="22"/>
        </w:rPr>
        <w:t xml:space="preserve">, </w:t>
      </w:r>
      <w:r w:rsidR="006C58F8">
        <w:rPr>
          <w:rFonts w:ascii="Calibri" w:hAnsi="Calibri" w:cs="ArialNarrow"/>
          <w:szCs w:val="22"/>
        </w:rPr>
        <w:t>B</w:t>
      </w:r>
      <w:r w:rsidR="006A2382">
        <w:rPr>
          <w:rFonts w:ascii="Calibri" w:hAnsi="Calibri" w:cs="ArialNarrow"/>
          <w:szCs w:val="22"/>
        </w:rPr>
        <w:t xml:space="preserve"> –</w:t>
      </w:r>
      <w:r w:rsidR="00246F18">
        <w:rPr>
          <w:rFonts w:ascii="Calibri" w:hAnsi="Calibri" w:cs="ArialNarrow"/>
          <w:szCs w:val="22"/>
        </w:rPr>
        <w:t xml:space="preserve"> 59</w:t>
      </w:r>
      <w:r w:rsidR="006A2382">
        <w:rPr>
          <w:rFonts w:ascii="Calibri" w:hAnsi="Calibri" w:cs="ArialNarrow"/>
          <w:szCs w:val="22"/>
        </w:rPr>
        <w:t>, C –</w:t>
      </w:r>
      <w:r w:rsidR="00246F18">
        <w:rPr>
          <w:rFonts w:ascii="Calibri" w:hAnsi="Calibri" w:cs="ArialNarrow"/>
          <w:szCs w:val="22"/>
        </w:rPr>
        <w:t xml:space="preserve"> 53</w:t>
      </w:r>
      <w:r w:rsidR="006A2382">
        <w:rPr>
          <w:rFonts w:ascii="Calibri" w:hAnsi="Calibri" w:cs="ArialNarrow"/>
          <w:szCs w:val="22"/>
        </w:rPr>
        <w:t>, D –</w:t>
      </w:r>
      <w:r w:rsidR="00BC3941">
        <w:rPr>
          <w:rFonts w:ascii="Calibri" w:hAnsi="Calibri" w:cs="ArialNarrow"/>
          <w:szCs w:val="22"/>
        </w:rPr>
        <w:t xml:space="preserve"> 1</w:t>
      </w:r>
      <w:r w:rsidR="006A2382">
        <w:rPr>
          <w:rFonts w:ascii="Calibri" w:hAnsi="Calibri" w:cs="ArialNarrow"/>
          <w:szCs w:val="22"/>
        </w:rPr>
        <w:t xml:space="preserve"> </w:t>
      </w:r>
      <w:r w:rsidR="00006395">
        <w:rPr>
          <w:rFonts w:ascii="Calibri" w:hAnsi="Calibri" w:cs="ArialNarrow"/>
          <w:szCs w:val="22"/>
        </w:rPr>
        <w:t>and E</w:t>
      </w:r>
      <w:r w:rsidR="00BA5693">
        <w:rPr>
          <w:rFonts w:ascii="Calibri" w:hAnsi="Calibri" w:cs="ArialNarrow"/>
          <w:szCs w:val="22"/>
        </w:rPr>
        <w:t xml:space="preserve"> –</w:t>
      </w:r>
      <w:r w:rsidR="00246F18">
        <w:rPr>
          <w:rFonts w:ascii="Calibri" w:hAnsi="Calibri" w:cs="ArialNarrow"/>
          <w:szCs w:val="22"/>
        </w:rPr>
        <w:t xml:space="preserve"> 35</w:t>
      </w:r>
      <w:r w:rsidR="00006395">
        <w:rPr>
          <w:rFonts w:ascii="Calibri" w:hAnsi="Calibri" w:cs="ArialNarrow"/>
          <w:szCs w:val="22"/>
        </w:rPr>
        <w:t>.</w:t>
      </w:r>
      <w:r w:rsidR="00AC3FFF">
        <w:rPr>
          <w:rFonts w:ascii="Calibri" w:hAnsi="Calibri" w:cs="ArialNarrow"/>
          <w:szCs w:val="22"/>
        </w:rPr>
        <w:t xml:space="preserve">  </w:t>
      </w:r>
    </w:p>
    <w:p w:rsidR="00BC3941" w:rsidRDefault="00BC3941" w:rsidP="007C02F8">
      <w:pPr>
        <w:rPr>
          <w:rFonts w:ascii="Calibri" w:hAnsi="Calibri" w:cs="ArialNarrow"/>
          <w:szCs w:val="22"/>
        </w:rPr>
      </w:pPr>
    </w:p>
    <w:p w:rsidR="00BC3941" w:rsidRPr="00BC3941" w:rsidRDefault="00BC3941" w:rsidP="00BC3941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>•</w:t>
      </w:r>
      <w:r>
        <w:rPr>
          <w:rFonts w:ascii="Calibri" w:hAnsi="Calibri" w:cs="ArialNarrow"/>
          <w:szCs w:val="22"/>
        </w:rPr>
        <w:tab/>
        <w:t>Of the 166 incidents 25</w:t>
      </w:r>
      <w:r w:rsidRPr="00BC3941">
        <w:rPr>
          <w:rFonts w:ascii="Calibri" w:hAnsi="Calibri" w:cs="ArialNarrow"/>
          <w:szCs w:val="22"/>
        </w:rPr>
        <w:t>% were classified as other.</w:t>
      </w:r>
    </w:p>
    <w:p w:rsidR="00BC3941" w:rsidRPr="00BC3941" w:rsidRDefault="009C2EA7" w:rsidP="00BC3941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>•</w:t>
      </w:r>
      <w:r>
        <w:rPr>
          <w:rFonts w:ascii="Calibri" w:hAnsi="Calibri" w:cs="ArialNarrow"/>
          <w:szCs w:val="22"/>
        </w:rPr>
        <w:tab/>
        <w:t xml:space="preserve">11 </w:t>
      </w:r>
      <w:r w:rsidR="00BC3941" w:rsidRPr="00BC3941">
        <w:rPr>
          <w:rFonts w:ascii="Calibri" w:hAnsi="Calibri" w:cs="ArialNarrow"/>
          <w:szCs w:val="22"/>
        </w:rPr>
        <w:t>residents had 3 or more incidents this quarter (excluding med o</w:t>
      </w:r>
      <w:r>
        <w:rPr>
          <w:rFonts w:ascii="Calibri" w:hAnsi="Calibri" w:cs="ArialNarrow"/>
          <w:szCs w:val="22"/>
        </w:rPr>
        <w:t>ccurrences) and accounted for 89 incidents (63%). 1 resident had 19 incidents, 1 resident had 18 incidents, 1 resident had 15 incidents, 1 resident had 10  and another had 9 incidents, these 5 residents had a total of 71 of the incidents (50.7%)</w:t>
      </w:r>
      <w:r w:rsidR="00BC3941" w:rsidRPr="00BC3941">
        <w:rPr>
          <w:rFonts w:ascii="Calibri" w:hAnsi="Calibri" w:cs="ArialNarrow"/>
          <w:szCs w:val="22"/>
        </w:rPr>
        <w:t xml:space="preserve"> </w:t>
      </w:r>
    </w:p>
    <w:p w:rsidR="00BC3941" w:rsidRDefault="00BC3941" w:rsidP="00BC3941">
      <w:pPr>
        <w:rPr>
          <w:rFonts w:ascii="Calibri" w:hAnsi="Calibri" w:cs="ArialNarrow"/>
          <w:szCs w:val="22"/>
        </w:rPr>
      </w:pPr>
      <w:r w:rsidRPr="00BC3941">
        <w:rPr>
          <w:rFonts w:ascii="Calibri" w:hAnsi="Calibri" w:cs="ArialNarrow"/>
          <w:szCs w:val="22"/>
        </w:rPr>
        <w:t>•</w:t>
      </w:r>
      <w:r w:rsidRPr="00BC3941">
        <w:rPr>
          <w:rFonts w:ascii="Calibri" w:hAnsi="Calibri" w:cs="ArialNarrow"/>
          <w:szCs w:val="22"/>
        </w:rPr>
        <w:tab/>
        <w:t>With the room renovation project underway D wing residents have been temporarily accommodated on other wings resulting in incidents being shifted from D wing.</w:t>
      </w:r>
    </w:p>
    <w:p w:rsidR="004F5DBC" w:rsidRDefault="004F5DBC" w:rsidP="007C02F8">
      <w:pPr>
        <w:rPr>
          <w:rFonts w:ascii="Calibri" w:hAnsi="Calibri" w:cs="ArialNarrow"/>
          <w:szCs w:val="22"/>
        </w:rPr>
      </w:pPr>
    </w:p>
    <w:p w:rsidR="007C02F8" w:rsidRDefault="007C02F8" w:rsidP="007C02F8">
      <w:pPr>
        <w:rPr>
          <w:rFonts w:ascii="Calibri" w:hAnsi="Calibri" w:cs="ArialNarrow"/>
          <w:b/>
          <w:szCs w:val="22"/>
        </w:rPr>
      </w:pPr>
      <w:r w:rsidRPr="009400B4">
        <w:rPr>
          <w:rFonts w:ascii="Calibri" w:hAnsi="Calibri" w:cs="ArialNarrow"/>
          <w:b/>
          <w:szCs w:val="22"/>
        </w:rPr>
        <w:t>Responsive Behav</w:t>
      </w:r>
      <w:r w:rsidR="0094473E">
        <w:rPr>
          <w:rFonts w:ascii="Calibri" w:hAnsi="Calibri" w:cs="ArialNarrow"/>
          <w:b/>
          <w:szCs w:val="22"/>
        </w:rPr>
        <w:t>io</w:t>
      </w:r>
      <w:r w:rsidRPr="009400B4">
        <w:rPr>
          <w:rFonts w:ascii="Calibri" w:hAnsi="Calibri" w:cs="ArialNarrow"/>
          <w:b/>
          <w:szCs w:val="22"/>
        </w:rPr>
        <w:t>rs</w:t>
      </w:r>
      <w:r w:rsidR="00D14085">
        <w:rPr>
          <w:rFonts w:ascii="Calibri" w:hAnsi="Calibri" w:cs="ArialNarrow"/>
          <w:b/>
          <w:szCs w:val="22"/>
        </w:rPr>
        <w:t xml:space="preserve"> </w:t>
      </w:r>
    </w:p>
    <w:p w:rsidR="00196327" w:rsidRPr="00D14085" w:rsidRDefault="00196327" w:rsidP="007C02F8">
      <w:pPr>
        <w:rPr>
          <w:rFonts w:ascii="Calibri" w:hAnsi="Calibri" w:cs="ArialNarrow"/>
          <w:b/>
          <w:i/>
          <w:szCs w:val="22"/>
          <w:u w:val="single"/>
        </w:rPr>
      </w:pPr>
    </w:p>
    <w:p w:rsidR="009C2EA7" w:rsidRDefault="005055BD" w:rsidP="006C58F8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>Last quarter there were 37 incidents and this quarter we have been further increase in behavior occurrences, 52. Of these</w:t>
      </w:r>
      <w:r w:rsidR="007C02F8" w:rsidRPr="009400B4">
        <w:rPr>
          <w:rFonts w:ascii="Calibri" w:hAnsi="Calibri" w:cs="ArialNarrow"/>
          <w:szCs w:val="22"/>
        </w:rPr>
        <w:t xml:space="preserve"> </w:t>
      </w:r>
      <w:r w:rsidR="009C2EA7">
        <w:rPr>
          <w:rFonts w:ascii="Calibri" w:hAnsi="Calibri" w:cs="ArialNarrow"/>
          <w:szCs w:val="22"/>
        </w:rPr>
        <w:t>52</w:t>
      </w:r>
      <w:r w:rsidR="00ED0395">
        <w:rPr>
          <w:rFonts w:ascii="Calibri" w:hAnsi="Calibri" w:cs="ArialNarrow"/>
          <w:szCs w:val="22"/>
        </w:rPr>
        <w:t xml:space="preserve"> </w:t>
      </w:r>
      <w:r w:rsidR="009C2EA7">
        <w:rPr>
          <w:rFonts w:ascii="Calibri" w:hAnsi="Calibri" w:cs="ArialNarrow"/>
          <w:szCs w:val="22"/>
        </w:rPr>
        <w:t>incidents, 39 were involving the same 4 residents.</w:t>
      </w:r>
      <w:r>
        <w:rPr>
          <w:rFonts w:ascii="Calibri" w:hAnsi="Calibri" w:cs="ArialNarrow"/>
          <w:szCs w:val="22"/>
        </w:rPr>
        <w:t xml:space="preserve"> </w:t>
      </w:r>
    </w:p>
    <w:p w:rsidR="006C58F8" w:rsidRDefault="009C2EA7" w:rsidP="006C58F8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 xml:space="preserve"> </w:t>
      </w:r>
      <w:r w:rsidR="006C58F8">
        <w:rPr>
          <w:rFonts w:ascii="Calibri" w:hAnsi="Calibri" w:cs="ArialNarrow"/>
          <w:szCs w:val="22"/>
        </w:rPr>
        <w:t>The number of incident</w:t>
      </w:r>
      <w:r w:rsidR="00902AD9">
        <w:rPr>
          <w:rFonts w:ascii="Calibri" w:hAnsi="Calibri" w:cs="ArialNarrow"/>
          <w:szCs w:val="22"/>
        </w:rPr>
        <w:t xml:space="preserve">s per wing: </w:t>
      </w:r>
      <w:r w:rsidR="00F309AC">
        <w:rPr>
          <w:rFonts w:ascii="Calibri" w:hAnsi="Calibri" w:cs="ArialNarrow"/>
          <w:szCs w:val="22"/>
        </w:rPr>
        <w:t xml:space="preserve">B – </w:t>
      </w:r>
      <w:r>
        <w:rPr>
          <w:rFonts w:ascii="Calibri" w:hAnsi="Calibri" w:cs="ArialNarrow"/>
          <w:szCs w:val="22"/>
        </w:rPr>
        <w:t>19</w:t>
      </w:r>
      <w:r w:rsidR="00902AD9">
        <w:rPr>
          <w:rFonts w:ascii="Calibri" w:hAnsi="Calibri" w:cs="ArialNarrow"/>
          <w:szCs w:val="22"/>
        </w:rPr>
        <w:t>,</w:t>
      </w:r>
      <w:r>
        <w:rPr>
          <w:rFonts w:ascii="Calibri" w:hAnsi="Calibri" w:cs="ArialNarrow"/>
          <w:szCs w:val="22"/>
        </w:rPr>
        <w:t xml:space="preserve"> C – 22,</w:t>
      </w:r>
      <w:r w:rsidR="00902AD9">
        <w:rPr>
          <w:rFonts w:ascii="Calibri" w:hAnsi="Calibri" w:cs="ArialNarrow"/>
          <w:szCs w:val="22"/>
        </w:rPr>
        <w:t xml:space="preserve"> E – 1</w:t>
      </w:r>
      <w:r>
        <w:rPr>
          <w:rFonts w:ascii="Calibri" w:hAnsi="Calibri" w:cs="ArialNarrow"/>
          <w:szCs w:val="22"/>
        </w:rPr>
        <w:t>1</w:t>
      </w:r>
      <w:r w:rsidR="008D408C">
        <w:rPr>
          <w:rFonts w:ascii="Calibri" w:hAnsi="Calibri" w:cs="ArialNarrow"/>
          <w:szCs w:val="22"/>
        </w:rPr>
        <w:t>.</w:t>
      </w:r>
    </w:p>
    <w:p w:rsidR="006C58F8" w:rsidRDefault="006C58F8" w:rsidP="007C02F8">
      <w:pPr>
        <w:rPr>
          <w:rFonts w:ascii="Calibri" w:hAnsi="Calibri" w:cs="ArialNarrow"/>
          <w:szCs w:val="22"/>
        </w:rPr>
      </w:pPr>
    </w:p>
    <w:p w:rsidR="007C02F8" w:rsidRDefault="005055BD" w:rsidP="007C02F8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 xml:space="preserve">There were 51 </w:t>
      </w:r>
      <w:r w:rsidR="009834D6">
        <w:rPr>
          <w:rFonts w:ascii="Calibri" w:hAnsi="Calibri" w:cs="ArialNarrow"/>
          <w:szCs w:val="22"/>
        </w:rPr>
        <w:t>e</w:t>
      </w:r>
      <w:r w:rsidR="00B604E4">
        <w:rPr>
          <w:rFonts w:ascii="Calibri" w:hAnsi="Calibri" w:cs="ArialNarrow"/>
          <w:szCs w:val="22"/>
        </w:rPr>
        <w:t>pisodes of physical aggress</w:t>
      </w:r>
      <w:r>
        <w:rPr>
          <w:rFonts w:ascii="Calibri" w:hAnsi="Calibri" w:cs="ArialNarrow"/>
          <w:szCs w:val="22"/>
        </w:rPr>
        <w:t xml:space="preserve">ion and 1 incident </w:t>
      </w:r>
      <w:r w:rsidR="00B604E4">
        <w:rPr>
          <w:rFonts w:ascii="Calibri" w:hAnsi="Calibri" w:cs="ArialNarrow"/>
          <w:szCs w:val="22"/>
        </w:rPr>
        <w:t xml:space="preserve">of verbal aggression. </w:t>
      </w:r>
    </w:p>
    <w:p w:rsidR="00483D2E" w:rsidRDefault="00483D2E" w:rsidP="007C02F8">
      <w:pPr>
        <w:rPr>
          <w:rFonts w:ascii="Calibri" w:hAnsi="Calibri" w:cs="ArialNarrow"/>
          <w:szCs w:val="22"/>
        </w:rPr>
      </w:pPr>
    </w:p>
    <w:p w:rsidR="00483D2E" w:rsidRDefault="00483D2E" w:rsidP="00483D2E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 xml:space="preserve">All Responsive </w:t>
      </w:r>
      <w:r w:rsidR="009C2EA7">
        <w:rPr>
          <w:rFonts w:ascii="Calibri" w:hAnsi="Calibri" w:cs="ArialNarrow"/>
          <w:szCs w:val="22"/>
        </w:rPr>
        <w:t>Behavior</w:t>
      </w:r>
      <w:r>
        <w:rPr>
          <w:rFonts w:ascii="Calibri" w:hAnsi="Calibri" w:cs="ArialNarrow"/>
          <w:szCs w:val="22"/>
        </w:rPr>
        <w:t xml:space="preserve"> incidents continue to be reviewed by the </w:t>
      </w:r>
      <w:r w:rsidR="009C2EA7">
        <w:rPr>
          <w:rFonts w:ascii="Calibri" w:hAnsi="Calibri" w:cs="ArialNarrow"/>
          <w:szCs w:val="22"/>
        </w:rPr>
        <w:t>Behavior</w:t>
      </w:r>
      <w:r>
        <w:rPr>
          <w:rFonts w:ascii="Calibri" w:hAnsi="Calibri" w:cs="ArialNarrow"/>
          <w:szCs w:val="22"/>
        </w:rPr>
        <w:t xml:space="preserve"> </w:t>
      </w:r>
      <w:r w:rsidR="009C2EA7">
        <w:rPr>
          <w:rFonts w:ascii="Calibri" w:hAnsi="Calibri" w:cs="ArialNarrow"/>
          <w:szCs w:val="22"/>
        </w:rPr>
        <w:t xml:space="preserve">Support </w:t>
      </w:r>
      <w:r>
        <w:rPr>
          <w:rFonts w:ascii="Calibri" w:hAnsi="Calibri" w:cs="ArialNarrow"/>
          <w:szCs w:val="22"/>
        </w:rPr>
        <w:t xml:space="preserve">Team. </w:t>
      </w:r>
    </w:p>
    <w:p w:rsidR="00902AD9" w:rsidRDefault="00902AD9" w:rsidP="00483D2E">
      <w:pPr>
        <w:rPr>
          <w:rFonts w:ascii="Calibri" w:hAnsi="Calibri" w:cs="ArialNarrow"/>
          <w:szCs w:val="22"/>
        </w:rPr>
      </w:pPr>
    </w:p>
    <w:p w:rsidR="009C2EA7" w:rsidRDefault="00902AD9" w:rsidP="00483D2E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 xml:space="preserve">We have noted a significant </w:t>
      </w:r>
      <w:r w:rsidR="009C2EA7">
        <w:rPr>
          <w:rFonts w:ascii="Calibri" w:hAnsi="Calibri" w:cs="ArialNarrow"/>
          <w:szCs w:val="22"/>
        </w:rPr>
        <w:t>in</w:t>
      </w:r>
      <w:r w:rsidR="005055BD">
        <w:rPr>
          <w:rFonts w:ascii="Calibri" w:hAnsi="Calibri" w:cs="ArialNarrow"/>
          <w:szCs w:val="22"/>
        </w:rPr>
        <w:t>crease in</w:t>
      </w:r>
      <w:r w:rsidR="009C2EA7">
        <w:rPr>
          <w:rFonts w:ascii="Calibri" w:hAnsi="Calibri" w:cs="ArialNarrow"/>
          <w:szCs w:val="22"/>
        </w:rPr>
        <w:t xml:space="preserve"> behavior occurrence</w:t>
      </w:r>
      <w:r w:rsidR="005055BD">
        <w:rPr>
          <w:rFonts w:ascii="Calibri" w:hAnsi="Calibri" w:cs="ArialNarrow"/>
          <w:szCs w:val="22"/>
        </w:rPr>
        <w:t>s</w:t>
      </w:r>
      <w:r w:rsidR="009C2EA7">
        <w:rPr>
          <w:rFonts w:ascii="Calibri" w:hAnsi="Calibri" w:cs="ArialNarrow"/>
          <w:szCs w:val="22"/>
        </w:rPr>
        <w:t xml:space="preserve"> since several new admissions made Shoreham their home. The team is working closely to support the residents, co-residents and each other to provide a safe environment.</w:t>
      </w:r>
      <w:r w:rsidR="005055BD">
        <w:rPr>
          <w:rFonts w:ascii="Calibri" w:hAnsi="Calibri" w:cs="ArialNarrow"/>
          <w:szCs w:val="22"/>
        </w:rPr>
        <w:t xml:space="preserve"> We have been supported by continuing care through over cost funding to implement 1:1 support for identified resident to help redirect them and provide additional precautions to ensure others are safe. </w:t>
      </w:r>
    </w:p>
    <w:p w:rsidR="005055BD" w:rsidRDefault="005055BD" w:rsidP="00483D2E">
      <w:pPr>
        <w:rPr>
          <w:rFonts w:ascii="Calibri" w:hAnsi="Calibri" w:cs="ArialNarrow"/>
          <w:szCs w:val="22"/>
        </w:rPr>
      </w:pPr>
    </w:p>
    <w:p w:rsidR="00902AD9" w:rsidRDefault="00902AD9" w:rsidP="00483D2E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 xml:space="preserve">Gentle Persuasive Approach Training </w:t>
      </w:r>
      <w:r w:rsidR="009C2EA7">
        <w:rPr>
          <w:rFonts w:ascii="Calibri" w:hAnsi="Calibri" w:cs="ArialNarrow"/>
          <w:szCs w:val="22"/>
        </w:rPr>
        <w:t xml:space="preserve">continues to provide the basis of Shoreham Behavior support care. We have an onsite GPA coach and we work closely with our zone </w:t>
      </w:r>
      <w:r>
        <w:rPr>
          <w:rFonts w:ascii="Calibri" w:hAnsi="Calibri" w:cs="ArialNarrow"/>
          <w:szCs w:val="22"/>
        </w:rPr>
        <w:t xml:space="preserve">Behavior Resource Consultant. </w:t>
      </w:r>
    </w:p>
    <w:p w:rsidR="00483D2E" w:rsidRPr="009400B4" w:rsidRDefault="00483D2E" w:rsidP="007C02F8">
      <w:pPr>
        <w:rPr>
          <w:rFonts w:ascii="Calibri" w:hAnsi="Calibri" w:cs="ArialNarrow"/>
          <w:szCs w:val="22"/>
        </w:rPr>
      </w:pPr>
    </w:p>
    <w:p w:rsidR="007C02F8" w:rsidRDefault="007C02F8" w:rsidP="007C02F8">
      <w:pPr>
        <w:rPr>
          <w:b/>
          <w:szCs w:val="22"/>
        </w:rPr>
      </w:pPr>
      <w:r>
        <w:rPr>
          <w:b/>
          <w:szCs w:val="22"/>
        </w:rPr>
        <w:t>Falls</w:t>
      </w:r>
      <w:r w:rsidR="00BF0B2B">
        <w:rPr>
          <w:b/>
          <w:szCs w:val="22"/>
        </w:rPr>
        <w:t xml:space="preserve"> </w:t>
      </w:r>
    </w:p>
    <w:p w:rsidR="00196327" w:rsidRPr="009400B4" w:rsidRDefault="00196327" w:rsidP="007C02F8">
      <w:pPr>
        <w:rPr>
          <w:b/>
          <w:szCs w:val="22"/>
        </w:rPr>
      </w:pPr>
    </w:p>
    <w:p w:rsidR="005F22C7" w:rsidRDefault="007C02F8" w:rsidP="00483D2E">
      <w:pPr>
        <w:rPr>
          <w:szCs w:val="22"/>
        </w:rPr>
      </w:pPr>
      <w:r w:rsidRPr="009400B4">
        <w:rPr>
          <w:szCs w:val="22"/>
        </w:rPr>
        <w:t>The number of falls</w:t>
      </w:r>
      <w:r w:rsidR="003C133E">
        <w:rPr>
          <w:szCs w:val="22"/>
        </w:rPr>
        <w:t xml:space="preserve"> </w:t>
      </w:r>
      <w:r w:rsidR="00C95D57">
        <w:rPr>
          <w:szCs w:val="22"/>
        </w:rPr>
        <w:t>are consistent when</w:t>
      </w:r>
      <w:r w:rsidR="008D408C">
        <w:rPr>
          <w:szCs w:val="22"/>
        </w:rPr>
        <w:t xml:space="preserve"> </w:t>
      </w:r>
      <w:r w:rsidR="003C133E">
        <w:rPr>
          <w:szCs w:val="22"/>
        </w:rPr>
        <w:t>compared to</w:t>
      </w:r>
      <w:r w:rsidR="00483D2E">
        <w:rPr>
          <w:szCs w:val="22"/>
        </w:rPr>
        <w:t xml:space="preserve"> </w:t>
      </w:r>
      <w:r w:rsidR="00B1334F">
        <w:rPr>
          <w:szCs w:val="22"/>
        </w:rPr>
        <w:t xml:space="preserve">the </w:t>
      </w:r>
      <w:r w:rsidR="00483D2E">
        <w:rPr>
          <w:szCs w:val="22"/>
        </w:rPr>
        <w:t>last quarter</w:t>
      </w:r>
      <w:r w:rsidR="00262A94">
        <w:rPr>
          <w:szCs w:val="22"/>
        </w:rPr>
        <w:t xml:space="preserve"> (4</w:t>
      </w:r>
      <w:r w:rsidR="005055BD">
        <w:rPr>
          <w:szCs w:val="22"/>
        </w:rPr>
        <w:t>7</w:t>
      </w:r>
      <w:r w:rsidR="00262A94">
        <w:rPr>
          <w:szCs w:val="22"/>
        </w:rPr>
        <w:t xml:space="preserve"> </w:t>
      </w:r>
      <w:r w:rsidR="003C133E">
        <w:rPr>
          <w:szCs w:val="22"/>
        </w:rPr>
        <w:t>falls)</w:t>
      </w:r>
      <w:r w:rsidR="006A2382">
        <w:rPr>
          <w:szCs w:val="22"/>
        </w:rPr>
        <w:t xml:space="preserve"> and </w:t>
      </w:r>
      <w:r w:rsidR="005055BD">
        <w:rPr>
          <w:szCs w:val="22"/>
        </w:rPr>
        <w:t xml:space="preserve">slightly improved </w:t>
      </w:r>
      <w:r w:rsidR="00262A94">
        <w:rPr>
          <w:szCs w:val="22"/>
        </w:rPr>
        <w:t>when compare</w:t>
      </w:r>
      <w:r w:rsidR="00E249B6">
        <w:rPr>
          <w:szCs w:val="22"/>
        </w:rPr>
        <w:t xml:space="preserve"> to </w:t>
      </w:r>
      <w:r w:rsidR="00262A94">
        <w:rPr>
          <w:szCs w:val="22"/>
        </w:rPr>
        <w:t xml:space="preserve">the </w:t>
      </w:r>
      <w:r w:rsidR="00483D2E">
        <w:rPr>
          <w:szCs w:val="22"/>
        </w:rPr>
        <w:t>same quarter of last year</w:t>
      </w:r>
      <w:r w:rsidR="005055BD">
        <w:rPr>
          <w:szCs w:val="22"/>
        </w:rPr>
        <w:t xml:space="preserve"> (50</w:t>
      </w:r>
      <w:r w:rsidR="003C133E">
        <w:rPr>
          <w:szCs w:val="22"/>
        </w:rPr>
        <w:t xml:space="preserve"> falls)</w:t>
      </w:r>
      <w:r w:rsidR="00483D2E">
        <w:rPr>
          <w:szCs w:val="22"/>
        </w:rPr>
        <w:t>.</w:t>
      </w:r>
      <w:r w:rsidRPr="009400B4">
        <w:rPr>
          <w:szCs w:val="22"/>
        </w:rPr>
        <w:t xml:space="preserve"> </w:t>
      </w:r>
      <w:r w:rsidR="00747888">
        <w:rPr>
          <w:szCs w:val="22"/>
        </w:rPr>
        <w:t xml:space="preserve">26 </w:t>
      </w:r>
      <w:r w:rsidR="00E249B6">
        <w:rPr>
          <w:szCs w:val="22"/>
        </w:rPr>
        <w:t>resident</w:t>
      </w:r>
      <w:r w:rsidR="00747888">
        <w:rPr>
          <w:szCs w:val="22"/>
        </w:rPr>
        <w:t>s fell. 4 residents</w:t>
      </w:r>
      <w:r w:rsidR="00E249B6">
        <w:rPr>
          <w:szCs w:val="22"/>
        </w:rPr>
        <w:t xml:space="preserve"> </w:t>
      </w:r>
      <w:r w:rsidR="005055BD">
        <w:rPr>
          <w:szCs w:val="22"/>
        </w:rPr>
        <w:t xml:space="preserve">accounted for </w:t>
      </w:r>
      <w:r w:rsidR="00747888">
        <w:rPr>
          <w:szCs w:val="22"/>
        </w:rPr>
        <w:t>41.3</w:t>
      </w:r>
      <w:r w:rsidR="00E249B6">
        <w:rPr>
          <w:szCs w:val="22"/>
        </w:rPr>
        <w:t>% of t</w:t>
      </w:r>
      <w:r w:rsidR="00262A94">
        <w:rPr>
          <w:szCs w:val="22"/>
        </w:rPr>
        <w:t>he falls.</w:t>
      </w:r>
    </w:p>
    <w:p w:rsidR="003A274E" w:rsidRDefault="003A274E" w:rsidP="003A274E">
      <w:pPr>
        <w:pStyle w:val="ListParagraph"/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Of the </w:t>
      </w:r>
      <w:r w:rsidR="005055BD">
        <w:rPr>
          <w:szCs w:val="22"/>
        </w:rPr>
        <w:t>46</w:t>
      </w:r>
      <w:r>
        <w:rPr>
          <w:szCs w:val="22"/>
        </w:rPr>
        <w:t xml:space="preserve"> falls </w:t>
      </w:r>
      <w:r w:rsidR="00747888">
        <w:rPr>
          <w:szCs w:val="22"/>
        </w:rPr>
        <w:t>5</w:t>
      </w:r>
      <w:r w:rsidR="008D408C">
        <w:rPr>
          <w:szCs w:val="22"/>
        </w:rPr>
        <w:t xml:space="preserve"> </w:t>
      </w:r>
      <w:r>
        <w:rPr>
          <w:szCs w:val="22"/>
        </w:rPr>
        <w:t xml:space="preserve">were witnessed and </w:t>
      </w:r>
      <w:r w:rsidR="00747888">
        <w:rPr>
          <w:szCs w:val="22"/>
        </w:rPr>
        <w:t>41</w:t>
      </w:r>
      <w:r>
        <w:rPr>
          <w:szCs w:val="22"/>
        </w:rPr>
        <w:t xml:space="preserve"> were unwitnessed. </w:t>
      </w:r>
    </w:p>
    <w:p w:rsidR="003A274E" w:rsidRDefault="00747888" w:rsidP="003A274E">
      <w:pPr>
        <w:pStyle w:val="ListParagraph"/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11 </w:t>
      </w:r>
      <w:r w:rsidR="00BF0B2B">
        <w:rPr>
          <w:szCs w:val="22"/>
        </w:rPr>
        <w:t xml:space="preserve">falls resulted in </w:t>
      </w:r>
      <w:r w:rsidR="003A274E">
        <w:rPr>
          <w:szCs w:val="22"/>
        </w:rPr>
        <w:t xml:space="preserve">minor injuries from bruising to skin tears, </w:t>
      </w:r>
      <w:r w:rsidR="00332CE6">
        <w:rPr>
          <w:szCs w:val="22"/>
        </w:rPr>
        <w:t xml:space="preserve">and </w:t>
      </w:r>
      <w:r w:rsidR="00C95D57">
        <w:rPr>
          <w:szCs w:val="22"/>
        </w:rPr>
        <w:t>no</w:t>
      </w:r>
      <w:r w:rsidR="00E249B6">
        <w:rPr>
          <w:szCs w:val="22"/>
        </w:rPr>
        <w:t xml:space="preserve"> fall</w:t>
      </w:r>
      <w:r w:rsidR="00C95D57">
        <w:rPr>
          <w:szCs w:val="22"/>
        </w:rPr>
        <w:t>s</w:t>
      </w:r>
      <w:r w:rsidR="00CD3537">
        <w:rPr>
          <w:szCs w:val="22"/>
        </w:rPr>
        <w:t xml:space="preserve"> resulted in a</w:t>
      </w:r>
      <w:r w:rsidR="00C95D57">
        <w:rPr>
          <w:szCs w:val="22"/>
        </w:rPr>
        <w:t xml:space="preserve"> </w:t>
      </w:r>
      <w:r w:rsidR="003A274E">
        <w:rPr>
          <w:szCs w:val="22"/>
        </w:rPr>
        <w:t>fracture</w:t>
      </w:r>
      <w:r w:rsidR="00196327">
        <w:rPr>
          <w:szCs w:val="22"/>
        </w:rPr>
        <w:t xml:space="preserve">. </w:t>
      </w:r>
      <w:r>
        <w:rPr>
          <w:szCs w:val="22"/>
        </w:rPr>
        <w:t xml:space="preserve">1 of the 11 falls resulted in a transfer to hospital for assessment due to possible head injury. The resident did not require treatment and returned to Shoreham. </w:t>
      </w:r>
    </w:p>
    <w:p w:rsidR="003A274E" w:rsidRDefault="003A274E" w:rsidP="003A274E">
      <w:pPr>
        <w:pStyle w:val="ListParagraph"/>
        <w:rPr>
          <w:szCs w:val="22"/>
        </w:rPr>
      </w:pPr>
    </w:p>
    <w:p w:rsidR="007C02F8" w:rsidRDefault="007C02F8" w:rsidP="003A274E">
      <w:pPr>
        <w:pStyle w:val="ListParagraph"/>
        <w:ind w:left="0"/>
        <w:rPr>
          <w:szCs w:val="22"/>
        </w:rPr>
      </w:pPr>
      <w:r w:rsidRPr="003A274E">
        <w:rPr>
          <w:szCs w:val="22"/>
        </w:rPr>
        <w:t xml:space="preserve">All incidents </w:t>
      </w:r>
      <w:r w:rsidR="005F22C7">
        <w:rPr>
          <w:szCs w:val="22"/>
        </w:rPr>
        <w:t xml:space="preserve">continue to be </w:t>
      </w:r>
      <w:r w:rsidRPr="003A274E">
        <w:rPr>
          <w:szCs w:val="22"/>
        </w:rPr>
        <w:t>reviewed on a regular basis by the Manager Resident Care</w:t>
      </w:r>
      <w:r w:rsidR="00E249B6">
        <w:rPr>
          <w:szCs w:val="22"/>
        </w:rPr>
        <w:t xml:space="preserve"> and the mobility team</w:t>
      </w:r>
      <w:r w:rsidRPr="003A274E">
        <w:rPr>
          <w:szCs w:val="22"/>
        </w:rPr>
        <w:t xml:space="preserve"> with prevention</w:t>
      </w:r>
      <w:r w:rsidR="003A274E">
        <w:rPr>
          <w:szCs w:val="22"/>
        </w:rPr>
        <w:t xml:space="preserve"> strategies</w:t>
      </w:r>
      <w:r w:rsidR="005F22C7">
        <w:rPr>
          <w:szCs w:val="22"/>
        </w:rPr>
        <w:t xml:space="preserve"> added to the resident care plans.</w:t>
      </w:r>
      <w:r w:rsidRPr="003A274E">
        <w:rPr>
          <w:szCs w:val="22"/>
        </w:rPr>
        <w:t xml:space="preserve">  </w:t>
      </w:r>
    </w:p>
    <w:p w:rsidR="00196327" w:rsidRDefault="00196327" w:rsidP="003A274E">
      <w:pPr>
        <w:pStyle w:val="ListParagraph"/>
        <w:ind w:left="0"/>
        <w:rPr>
          <w:szCs w:val="22"/>
        </w:rPr>
      </w:pPr>
    </w:p>
    <w:p w:rsidR="007C02F8" w:rsidRPr="009400B4" w:rsidRDefault="007C02F8" w:rsidP="007C02F8">
      <w:pPr>
        <w:rPr>
          <w:szCs w:val="22"/>
        </w:rPr>
      </w:pPr>
    </w:p>
    <w:p w:rsidR="00015F41" w:rsidRDefault="007C02F8" w:rsidP="007C02F8">
      <w:pPr>
        <w:rPr>
          <w:b/>
          <w:szCs w:val="22"/>
        </w:rPr>
      </w:pPr>
      <w:r w:rsidRPr="009400B4">
        <w:rPr>
          <w:b/>
          <w:szCs w:val="22"/>
        </w:rPr>
        <w:t>Medication Errors</w:t>
      </w:r>
      <w:r w:rsidR="006033F1">
        <w:rPr>
          <w:b/>
          <w:szCs w:val="22"/>
        </w:rPr>
        <w:t xml:space="preserve"> </w:t>
      </w:r>
    </w:p>
    <w:p w:rsidR="007D6EAA" w:rsidRDefault="007D6EAA" w:rsidP="007C02F8">
      <w:pPr>
        <w:rPr>
          <w:szCs w:val="22"/>
        </w:rPr>
      </w:pPr>
    </w:p>
    <w:p w:rsidR="007D6EAA" w:rsidRDefault="007C02F8" w:rsidP="007C02F8">
      <w:pPr>
        <w:rPr>
          <w:szCs w:val="22"/>
        </w:rPr>
      </w:pPr>
      <w:r>
        <w:rPr>
          <w:szCs w:val="22"/>
        </w:rPr>
        <w:t>Medication errors have</w:t>
      </w:r>
      <w:r w:rsidR="0033110A">
        <w:rPr>
          <w:szCs w:val="22"/>
        </w:rPr>
        <w:t xml:space="preserve"> </w:t>
      </w:r>
      <w:r w:rsidR="00747888">
        <w:rPr>
          <w:szCs w:val="22"/>
        </w:rPr>
        <w:t>increased</w:t>
      </w:r>
      <w:r w:rsidR="008D408C">
        <w:rPr>
          <w:szCs w:val="22"/>
        </w:rPr>
        <w:t xml:space="preserve"> </w:t>
      </w:r>
      <w:r w:rsidR="00747888">
        <w:rPr>
          <w:szCs w:val="22"/>
        </w:rPr>
        <w:t xml:space="preserve">slightly </w:t>
      </w:r>
      <w:r w:rsidR="005B7123">
        <w:rPr>
          <w:szCs w:val="22"/>
        </w:rPr>
        <w:t xml:space="preserve">this </w:t>
      </w:r>
      <w:r w:rsidRPr="009400B4">
        <w:rPr>
          <w:szCs w:val="22"/>
        </w:rPr>
        <w:t>quarter</w:t>
      </w:r>
      <w:r w:rsidR="00F97E01">
        <w:rPr>
          <w:szCs w:val="22"/>
        </w:rPr>
        <w:t xml:space="preserve"> </w:t>
      </w:r>
      <w:r w:rsidR="008D408C">
        <w:rPr>
          <w:szCs w:val="22"/>
        </w:rPr>
        <w:t>when compared to</w:t>
      </w:r>
      <w:r w:rsidR="00055044">
        <w:rPr>
          <w:szCs w:val="22"/>
        </w:rPr>
        <w:t xml:space="preserve"> the same period of last year</w:t>
      </w:r>
      <w:r w:rsidR="00747888">
        <w:rPr>
          <w:szCs w:val="22"/>
        </w:rPr>
        <w:t xml:space="preserve"> (21</w:t>
      </w:r>
      <w:r w:rsidR="006C4CD5">
        <w:rPr>
          <w:szCs w:val="22"/>
        </w:rPr>
        <w:t>).</w:t>
      </w:r>
      <w:r w:rsidR="00747888">
        <w:rPr>
          <w:szCs w:val="22"/>
        </w:rPr>
        <w:t xml:space="preserve"> April had 8 occurrences, May 13, and there were 5 in June. </w:t>
      </w:r>
    </w:p>
    <w:p w:rsidR="007D6EAA" w:rsidRDefault="007D6EAA" w:rsidP="007C02F8">
      <w:pPr>
        <w:rPr>
          <w:szCs w:val="22"/>
        </w:rPr>
      </w:pPr>
    </w:p>
    <w:p w:rsidR="007D6EAA" w:rsidRDefault="005B7123" w:rsidP="007C02F8">
      <w:pPr>
        <w:rPr>
          <w:szCs w:val="22"/>
        </w:rPr>
      </w:pPr>
      <w:r>
        <w:rPr>
          <w:szCs w:val="22"/>
        </w:rPr>
        <w:t xml:space="preserve">Missed doses account for </w:t>
      </w:r>
      <w:r w:rsidR="005B6F31">
        <w:rPr>
          <w:szCs w:val="22"/>
        </w:rPr>
        <w:t>53</w:t>
      </w:r>
      <w:r w:rsidR="004175E1">
        <w:rPr>
          <w:szCs w:val="22"/>
        </w:rPr>
        <w:t>%</w:t>
      </w:r>
      <w:r w:rsidR="00B1334F">
        <w:rPr>
          <w:szCs w:val="22"/>
        </w:rPr>
        <w:t xml:space="preserve"> (</w:t>
      </w:r>
      <w:r w:rsidR="005B6F31">
        <w:rPr>
          <w:szCs w:val="22"/>
        </w:rPr>
        <w:t>14</w:t>
      </w:r>
      <w:r w:rsidR="00B1334F">
        <w:rPr>
          <w:szCs w:val="22"/>
        </w:rPr>
        <w:t xml:space="preserve">) </w:t>
      </w:r>
      <w:r w:rsidR="004175E1">
        <w:rPr>
          <w:szCs w:val="22"/>
        </w:rPr>
        <w:t xml:space="preserve">of all </w:t>
      </w:r>
      <w:r w:rsidR="00B1334F">
        <w:rPr>
          <w:szCs w:val="22"/>
        </w:rPr>
        <w:t xml:space="preserve">medication </w:t>
      </w:r>
      <w:r w:rsidR="004175E1">
        <w:rPr>
          <w:szCs w:val="22"/>
        </w:rPr>
        <w:t>incidents</w:t>
      </w:r>
      <w:r w:rsidR="005B6F31">
        <w:rPr>
          <w:szCs w:val="22"/>
        </w:rPr>
        <w:t>. 27%</w:t>
      </w:r>
      <w:r w:rsidR="00B1334F">
        <w:rPr>
          <w:szCs w:val="22"/>
        </w:rPr>
        <w:t xml:space="preserve"> (7</w:t>
      </w:r>
      <w:r w:rsidR="00261314">
        <w:rPr>
          <w:szCs w:val="22"/>
        </w:rPr>
        <w:t>)</w:t>
      </w:r>
      <w:r>
        <w:rPr>
          <w:szCs w:val="22"/>
        </w:rPr>
        <w:t xml:space="preserve"> of</w:t>
      </w:r>
      <w:r w:rsidR="000A5242">
        <w:rPr>
          <w:szCs w:val="22"/>
        </w:rPr>
        <w:t xml:space="preserve"> all</w:t>
      </w:r>
      <w:r w:rsidR="006C4CD5">
        <w:rPr>
          <w:szCs w:val="22"/>
        </w:rPr>
        <w:t xml:space="preserve"> medication</w:t>
      </w:r>
      <w:r w:rsidR="000A5242">
        <w:rPr>
          <w:szCs w:val="22"/>
        </w:rPr>
        <w:t xml:space="preserve"> </w:t>
      </w:r>
      <w:r w:rsidR="00261314">
        <w:rPr>
          <w:szCs w:val="22"/>
        </w:rPr>
        <w:t>errors</w:t>
      </w:r>
      <w:r w:rsidR="005B6F31">
        <w:rPr>
          <w:szCs w:val="22"/>
        </w:rPr>
        <w:t xml:space="preserve"> where pharmacy errors. 46% (12) of medication incidents</w:t>
      </w:r>
      <w:r w:rsidR="00261314">
        <w:rPr>
          <w:szCs w:val="22"/>
        </w:rPr>
        <w:t xml:space="preserve"> occurred on B </w:t>
      </w:r>
      <w:r w:rsidR="006C4CD5">
        <w:rPr>
          <w:szCs w:val="22"/>
        </w:rPr>
        <w:t xml:space="preserve">wing which is also the wing with the largest medication pass. </w:t>
      </w:r>
    </w:p>
    <w:p w:rsidR="007D6EAA" w:rsidRDefault="007D6EAA" w:rsidP="007C02F8">
      <w:pPr>
        <w:rPr>
          <w:szCs w:val="22"/>
        </w:rPr>
      </w:pPr>
    </w:p>
    <w:p w:rsidR="005B7123" w:rsidRDefault="007D6EAA" w:rsidP="007C02F8">
      <w:pPr>
        <w:rPr>
          <w:szCs w:val="22"/>
        </w:rPr>
      </w:pPr>
      <w:r>
        <w:rPr>
          <w:szCs w:val="22"/>
        </w:rPr>
        <w:t>A</w:t>
      </w:r>
      <w:r w:rsidR="005B7123">
        <w:rPr>
          <w:szCs w:val="22"/>
        </w:rPr>
        <w:t>ll errors are review</w:t>
      </w:r>
      <w:r w:rsidR="0033110A">
        <w:rPr>
          <w:szCs w:val="22"/>
        </w:rPr>
        <w:t>ed</w:t>
      </w:r>
      <w:r w:rsidR="005B7123">
        <w:rPr>
          <w:szCs w:val="22"/>
        </w:rPr>
        <w:t xml:space="preserve"> with staff involved.  There were no errors re</w:t>
      </w:r>
      <w:r w:rsidR="00261314">
        <w:rPr>
          <w:szCs w:val="22"/>
        </w:rPr>
        <w:t xml:space="preserve">sulting in injury to residents. </w:t>
      </w:r>
    </w:p>
    <w:p w:rsidR="00B6263D" w:rsidRDefault="00B6263D" w:rsidP="007C02F8">
      <w:pPr>
        <w:rPr>
          <w:szCs w:val="22"/>
        </w:rPr>
      </w:pPr>
    </w:p>
    <w:p w:rsidR="007C02F8" w:rsidRDefault="007C02F8" w:rsidP="007C02F8">
      <w:pPr>
        <w:rPr>
          <w:b/>
          <w:szCs w:val="22"/>
        </w:rPr>
      </w:pPr>
      <w:r w:rsidRPr="009400B4">
        <w:rPr>
          <w:b/>
          <w:szCs w:val="22"/>
        </w:rPr>
        <w:t>Other Incidents</w:t>
      </w:r>
      <w:r w:rsidR="00A3371A">
        <w:rPr>
          <w:b/>
          <w:szCs w:val="22"/>
        </w:rPr>
        <w:t xml:space="preserve"> </w:t>
      </w:r>
    </w:p>
    <w:p w:rsidR="00196327" w:rsidRPr="009400B4" w:rsidRDefault="00196327" w:rsidP="007C02F8">
      <w:pPr>
        <w:rPr>
          <w:b/>
          <w:szCs w:val="22"/>
        </w:rPr>
      </w:pPr>
    </w:p>
    <w:p w:rsidR="007E6268" w:rsidRPr="000A5242" w:rsidRDefault="000A5242" w:rsidP="002958B0">
      <w:pPr>
        <w:rPr>
          <w:szCs w:val="22"/>
        </w:rPr>
      </w:pPr>
      <w:r>
        <w:rPr>
          <w:szCs w:val="22"/>
        </w:rPr>
        <w:t xml:space="preserve">Of the </w:t>
      </w:r>
      <w:r w:rsidR="005B6F31">
        <w:rPr>
          <w:szCs w:val="22"/>
        </w:rPr>
        <w:t>42</w:t>
      </w:r>
      <w:r w:rsidR="00902AD9">
        <w:rPr>
          <w:szCs w:val="22"/>
        </w:rPr>
        <w:t xml:space="preserve"> </w:t>
      </w:r>
      <w:r w:rsidR="00CD3537">
        <w:rPr>
          <w:szCs w:val="22"/>
        </w:rPr>
        <w:t>incidents classified as ot</w:t>
      </w:r>
      <w:r w:rsidR="005B6F31">
        <w:rPr>
          <w:szCs w:val="22"/>
        </w:rPr>
        <w:t>her 3</w:t>
      </w:r>
      <w:r w:rsidR="0075430F">
        <w:rPr>
          <w:szCs w:val="22"/>
        </w:rPr>
        <w:t xml:space="preserve"> were</w:t>
      </w:r>
      <w:r>
        <w:rPr>
          <w:szCs w:val="22"/>
        </w:rPr>
        <w:t xml:space="preserve"> </w:t>
      </w:r>
      <w:r w:rsidR="007C02F8" w:rsidRPr="009400B4">
        <w:rPr>
          <w:szCs w:val="22"/>
        </w:rPr>
        <w:t>elopement,</w:t>
      </w:r>
      <w:r w:rsidR="0075430F">
        <w:rPr>
          <w:szCs w:val="22"/>
        </w:rPr>
        <w:t xml:space="preserve"> </w:t>
      </w:r>
      <w:r w:rsidR="005B6F31">
        <w:rPr>
          <w:szCs w:val="22"/>
        </w:rPr>
        <w:t>1</w:t>
      </w:r>
      <w:r w:rsidR="00CD3537">
        <w:rPr>
          <w:szCs w:val="22"/>
        </w:rPr>
        <w:t xml:space="preserve"> were choking, </w:t>
      </w:r>
      <w:r w:rsidR="005B6F31">
        <w:rPr>
          <w:szCs w:val="22"/>
        </w:rPr>
        <w:t>24</w:t>
      </w:r>
      <w:r w:rsidR="0075430F">
        <w:rPr>
          <w:szCs w:val="22"/>
        </w:rPr>
        <w:t xml:space="preserve"> </w:t>
      </w:r>
      <w:r w:rsidR="00BD0FF7">
        <w:rPr>
          <w:szCs w:val="22"/>
        </w:rPr>
        <w:t xml:space="preserve">were near miss </w:t>
      </w:r>
      <w:r w:rsidR="00E249B6">
        <w:rPr>
          <w:szCs w:val="22"/>
        </w:rPr>
        <w:t>incidents (</w:t>
      </w:r>
      <w:r w:rsidR="008D5EA6">
        <w:rPr>
          <w:szCs w:val="22"/>
        </w:rPr>
        <w:t>ex.</w:t>
      </w:r>
      <w:r w:rsidR="0075430F">
        <w:rPr>
          <w:szCs w:val="22"/>
        </w:rPr>
        <w:t xml:space="preserve"> residents standing by themselves, transferring to other seating</w:t>
      </w:r>
      <w:r w:rsidR="005B6F31">
        <w:rPr>
          <w:szCs w:val="22"/>
        </w:rPr>
        <w:t>/bed</w:t>
      </w:r>
      <w:r w:rsidR="0075430F">
        <w:rPr>
          <w:szCs w:val="22"/>
        </w:rPr>
        <w:t xml:space="preserve"> without </w:t>
      </w:r>
      <w:r w:rsidR="005B6F31">
        <w:rPr>
          <w:szCs w:val="22"/>
        </w:rPr>
        <w:t>assistance), and 14</w:t>
      </w:r>
      <w:r w:rsidR="008D5EA6">
        <w:rPr>
          <w:szCs w:val="22"/>
        </w:rPr>
        <w:t xml:space="preserve"> other (ex.</w:t>
      </w:r>
      <w:r w:rsidR="00EE0C59">
        <w:rPr>
          <w:szCs w:val="22"/>
        </w:rPr>
        <w:t xml:space="preserve"> </w:t>
      </w:r>
      <w:r w:rsidR="00A61C28">
        <w:rPr>
          <w:szCs w:val="22"/>
        </w:rPr>
        <w:t>s</w:t>
      </w:r>
      <w:r w:rsidR="005B6F31">
        <w:rPr>
          <w:szCs w:val="22"/>
        </w:rPr>
        <w:t xml:space="preserve">wollen hand with no known cause, resident pulled fire pull station, resident ate another residents food, resident tried to consume hand sanitizer </w:t>
      </w:r>
      <w:r w:rsidR="00DC2720">
        <w:rPr>
          <w:szCs w:val="22"/>
        </w:rPr>
        <w:t>etc</w:t>
      </w:r>
      <w:r w:rsidR="008D5EA6">
        <w:rPr>
          <w:szCs w:val="22"/>
        </w:rPr>
        <w:t>)</w:t>
      </w:r>
      <w:r w:rsidR="00DC2720">
        <w:rPr>
          <w:szCs w:val="22"/>
        </w:rPr>
        <w:t>.</w:t>
      </w:r>
    </w:p>
    <w:p w:rsidR="008B5A9E" w:rsidRDefault="008B5A9E" w:rsidP="00D70818">
      <w:pPr>
        <w:rPr>
          <w:b/>
          <w:sz w:val="24"/>
        </w:rPr>
      </w:pPr>
    </w:p>
    <w:p w:rsidR="00ED282C" w:rsidRDefault="00ED282C" w:rsidP="00D70818">
      <w:pPr>
        <w:rPr>
          <w:b/>
          <w:sz w:val="24"/>
        </w:rPr>
      </w:pPr>
    </w:p>
    <w:p w:rsidR="00A61C28" w:rsidRDefault="00A61C28" w:rsidP="00D70818">
      <w:pPr>
        <w:rPr>
          <w:b/>
          <w:sz w:val="24"/>
        </w:rPr>
      </w:pPr>
    </w:p>
    <w:p w:rsidR="00ED282C" w:rsidRDefault="00ED282C" w:rsidP="00D70818">
      <w:pPr>
        <w:rPr>
          <w:b/>
          <w:sz w:val="24"/>
        </w:rPr>
      </w:pPr>
    </w:p>
    <w:p w:rsidR="00ED282C" w:rsidRDefault="00ED282C" w:rsidP="00D70818">
      <w:pPr>
        <w:rPr>
          <w:b/>
          <w:sz w:val="24"/>
        </w:rPr>
      </w:pPr>
    </w:p>
    <w:p w:rsidR="008B5A9E" w:rsidRDefault="008B5A9E" w:rsidP="00D70818">
      <w:pPr>
        <w:rPr>
          <w:b/>
          <w:sz w:val="24"/>
        </w:rPr>
      </w:pPr>
    </w:p>
    <w:p w:rsidR="004A63A6" w:rsidRDefault="00E964A8" w:rsidP="00D70818">
      <w:pPr>
        <w:rPr>
          <w:b/>
          <w:sz w:val="24"/>
        </w:rPr>
      </w:pPr>
      <w:r>
        <w:rPr>
          <w:b/>
          <w:sz w:val="24"/>
        </w:rPr>
        <w:t>3.0</w:t>
      </w:r>
      <w:r>
        <w:rPr>
          <w:b/>
          <w:sz w:val="24"/>
        </w:rPr>
        <w:tab/>
      </w:r>
      <w:r w:rsidR="00D70818">
        <w:rPr>
          <w:b/>
          <w:sz w:val="24"/>
        </w:rPr>
        <w:t>Shoreham Village</w:t>
      </w:r>
      <w:r w:rsidR="00D70818" w:rsidRPr="008A1497">
        <w:rPr>
          <w:b/>
          <w:sz w:val="24"/>
        </w:rPr>
        <w:t xml:space="preserve"> - Resident</w:t>
      </w:r>
      <w:r w:rsidR="00D70818" w:rsidRPr="008A1497">
        <w:rPr>
          <w:b/>
          <w:bCs/>
          <w:i/>
          <w:iCs/>
          <w:sz w:val="24"/>
        </w:rPr>
        <w:t xml:space="preserve"> </w:t>
      </w:r>
      <w:r w:rsidR="00A41C1C">
        <w:rPr>
          <w:b/>
          <w:sz w:val="24"/>
        </w:rPr>
        <w:t>Infection Report – Q1</w:t>
      </w:r>
      <w:r w:rsidR="008B5A9E">
        <w:rPr>
          <w:b/>
          <w:sz w:val="24"/>
        </w:rPr>
        <w:t xml:space="preserve"> </w:t>
      </w:r>
      <w:r w:rsidR="00A41C1C">
        <w:rPr>
          <w:b/>
          <w:sz w:val="24"/>
        </w:rPr>
        <w:t>April</w:t>
      </w:r>
      <w:r w:rsidR="008B5A9E">
        <w:rPr>
          <w:b/>
          <w:sz w:val="24"/>
        </w:rPr>
        <w:t xml:space="preserve"> </w:t>
      </w:r>
      <w:r w:rsidR="002802F2" w:rsidRPr="002802F2">
        <w:rPr>
          <w:b/>
        </w:rPr>
        <w:t xml:space="preserve">- </w:t>
      </w:r>
      <w:r w:rsidR="00A41C1C">
        <w:rPr>
          <w:b/>
        </w:rPr>
        <w:t>Jun 2022</w:t>
      </w:r>
      <w:r w:rsidR="003141E3">
        <w:rPr>
          <w:b/>
        </w:rPr>
        <w:t>/2</w:t>
      </w:r>
      <w:r w:rsidR="00A41C1C">
        <w:rPr>
          <w:b/>
        </w:rPr>
        <w:t>3</w:t>
      </w:r>
    </w:p>
    <w:p w:rsidR="00E964A8" w:rsidRPr="008A1497" w:rsidRDefault="00E964A8" w:rsidP="00D70818">
      <w:pPr>
        <w:rPr>
          <w:b/>
          <w:sz w:val="24"/>
        </w:rPr>
      </w:pPr>
    </w:p>
    <w:tbl>
      <w:tblPr>
        <w:tblStyle w:val="TableGrid"/>
        <w:tblW w:w="9575" w:type="dxa"/>
        <w:tblLook w:val="04A0" w:firstRow="1" w:lastRow="0" w:firstColumn="1" w:lastColumn="0" w:noHBand="0" w:noVBand="1"/>
      </w:tblPr>
      <w:tblGrid>
        <w:gridCol w:w="2355"/>
        <w:gridCol w:w="1480"/>
        <w:gridCol w:w="1480"/>
        <w:gridCol w:w="1480"/>
        <w:gridCol w:w="1390"/>
        <w:gridCol w:w="1390"/>
      </w:tblGrid>
      <w:tr w:rsidR="00EC23B2" w:rsidTr="005B5C4A">
        <w:tc>
          <w:tcPr>
            <w:tcW w:w="2355" w:type="dxa"/>
          </w:tcPr>
          <w:p w:rsidR="00EC23B2" w:rsidRPr="00F05E23" w:rsidRDefault="00EC23B2" w:rsidP="00AC4680">
            <w:pPr>
              <w:rPr>
                <w:rFonts w:ascii="Calibri" w:hAnsi="Calibri"/>
                <w:b/>
                <w:bCs/>
                <w:color w:val="000000"/>
              </w:rPr>
            </w:pPr>
            <w:r w:rsidRPr="00F05E23">
              <w:rPr>
                <w:rFonts w:ascii="Calibri" w:hAnsi="Calibri"/>
                <w:b/>
                <w:bCs/>
                <w:color w:val="000000"/>
              </w:rPr>
              <w:t>Total # of In</w:t>
            </w:r>
            <w:r>
              <w:rPr>
                <w:rFonts w:ascii="Calibri" w:hAnsi="Calibri"/>
                <w:b/>
                <w:bCs/>
                <w:color w:val="000000"/>
              </w:rPr>
              <w:t>fections</w:t>
            </w:r>
            <w:r w:rsidRPr="00F05E23">
              <w:rPr>
                <w:rFonts w:ascii="Calibri" w:hAnsi="Calibri"/>
                <w:b/>
                <w:bCs/>
                <w:color w:val="000000"/>
              </w:rPr>
              <w:t xml:space="preserve"> Per Quarter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EC23B2" w:rsidRDefault="00EC23B2" w:rsidP="00EC23B2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Q1</w:t>
            </w:r>
          </w:p>
          <w:p w:rsidR="00EC23B2" w:rsidRPr="008E070D" w:rsidRDefault="00A41C1C" w:rsidP="00EC23B2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480" w:type="dxa"/>
          </w:tcPr>
          <w:p w:rsidR="00EC23B2" w:rsidRDefault="00EC23B2" w:rsidP="002A3CF7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Q1</w:t>
            </w:r>
          </w:p>
          <w:p w:rsidR="00EC23B2" w:rsidRPr="008E070D" w:rsidRDefault="00EC23B2" w:rsidP="00A41C1C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</w:t>
            </w:r>
            <w:r w:rsidR="00A41C1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2/23</w:t>
            </w:r>
          </w:p>
        </w:tc>
        <w:tc>
          <w:tcPr>
            <w:tcW w:w="1480" w:type="dxa"/>
          </w:tcPr>
          <w:p w:rsidR="00EC23B2" w:rsidRDefault="00EC23B2" w:rsidP="002A3CF7">
            <w:pPr>
              <w:ind w:left="-108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Q2</w:t>
            </w:r>
          </w:p>
          <w:p w:rsidR="00EC23B2" w:rsidRPr="008E070D" w:rsidRDefault="00A41C1C" w:rsidP="002A3CF7">
            <w:pPr>
              <w:ind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2022/23</w:t>
            </w:r>
          </w:p>
        </w:tc>
        <w:tc>
          <w:tcPr>
            <w:tcW w:w="1390" w:type="dxa"/>
          </w:tcPr>
          <w:p w:rsidR="00EC23B2" w:rsidRDefault="00EC23B2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Q3</w:t>
            </w:r>
          </w:p>
          <w:p w:rsidR="00EC23B2" w:rsidRPr="008E070D" w:rsidRDefault="00A41C1C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2022/23</w:t>
            </w:r>
          </w:p>
        </w:tc>
        <w:tc>
          <w:tcPr>
            <w:tcW w:w="1390" w:type="dxa"/>
          </w:tcPr>
          <w:p w:rsidR="00EC23B2" w:rsidRDefault="00EC23B2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Q4</w:t>
            </w:r>
          </w:p>
          <w:p w:rsidR="00EC23B2" w:rsidRDefault="00A41C1C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2022/23</w:t>
            </w:r>
          </w:p>
        </w:tc>
      </w:tr>
      <w:tr w:rsidR="00A41C1C" w:rsidTr="009C2EA7">
        <w:tc>
          <w:tcPr>
            <w:tcW w:w="2355" w:type="dxa"/>
          </w:tcPr>
          <w:p w:rsidR="00A41C1C" w:rsidRDefault="00A41C1C" w:rsidP="00A41C1C">
            <w:r>
              <w:t>Respiratory</w:t>
            </w:r>
          </w:p>
        </w:tc>
        <w:tc>
          <w:tcPr>
            <w:tcW w:w="1480" w:type="dxa"/>
          </w:tcPr>
          <w:p w:rsidR="00A41C1C" w:rsidRDefault="00A41C1C" w:rsidP="00A41C1C">
            <w:pPr>
              <w:jc w:val="center"/>
            </w:pPr>
            <w:r>
              <w:t>2</w:t>
            </w:r>
          </w:p>
        </w:tc>
        <w:tc>
          <w:tcPr>
            <w:tcW w:w="1480" w:type="dxa"/>
          </w:tcPr>
          <w:p w:rsidR="00A41C1C" w:rsidRDefault="00ED282C" w:rsidP="00A41C1C">
            <w:pPr>
              <w:jc w:val="center"/>
            </w:pPr>
            <w:r>
              <w:t>1</w:t>
            </w:r>
          </w:p>
        </w:tc>
        <w:tc>
          <w:tcPr>
            <w:tcW w:w="1480" w:type="dxa"/>
          </w:tcPr>
          <w:p w:rsidR="00A41C1C" w:rsidRDefault="00A41C1C" w:rsidP="00A41C1C">
            <w:pPr>
              <w:jc w:val="center"/>
            </w:pPr>
          </w:p>
        </w:tc>
        <w:tc>
          <w:tcPr>
            <w:tcW w:w="1390" w:type="dxa"/>
          </w:tcPr>
          <w:p w:rsidR="00A41C1C" w:rsidRDefault="00A41C1C" w:rsidP="00A41C1C">
            <w:pPr>
              <w:jc w:val="center"/>
            </w:pPr>
          </w:p>
        </w:tc>
        <w:tc>
          <w:tcPr>
            <w:tcW w:w="1390" w:type="dxa"/>
          </w:tcPr>
          <w:p w:rsidR="00A41C1C" w:rsidRDefault="00A41C1C" w:rsidP="00A41C1C">
            <w:pPr>
              <w:jc w:val="center"/>
            </w:pPr>
          </w:p>
        </w:tc>
      </w:tr>
      <w:tr w:rsidR="00A41C1C" w:rsidTr="009C2EA7">
        <w:tc>
          <w:tcPr>
            <w:tcW w:w="2355" w:type="dxa"/>
          </w:tcPr>
          <w:p w:rsidR="00A41C1C" w:rsidRDefault="00A41C1C" w:rsidP="00A41C1C">
            <w:r>
              <w:t xml:space="preserve">Urinary Tract </w:t>
            </w:r>
          </w:p>
        </w:tc>
        <w:tc>
          <w:tcPr>
            <w:tcW w:w="1480" w:type="dxa"/>
          </w:tcPr>
          <w:p w:rsidR="00A41C1C" w:rsidRDefault="00A41C1C" w:rsidP="00A41C1C">
            <w:pPr>
              <w:jc w:val="center"/>
            </w:pPr>
            <w:r>
              <w:t>7</w:t>
            </w:r>
          </w:p>
        </w:tc>
        <w:tc>
          <w:tcPr>
            <w:tcW w:w="1480" w:type="dxa"/>
          </w:tcPr>
          <w:p w:rsidR="00A41C1C" w:rsidRDefault="00ED282C" w:rsidP="00A41C1C">
            <w:pPr>
              <w:jc w:val="center"/>
            </w:pPr>
            <w:r>
              <w:t>8</w:t>
            </w:r>
          </w:p>
        </w:tc>
        <w:tc>
          <w:tcPr>
            <w:tcW w:w="1480" w:type="dxa"/>
          </w:tcPr>
          <w:p w:rsidR="00A41C1C" w:rsidRDefault="00A41C1C" w:rsidP="00A41C1C">
            <w:pPr>
              <w:jc w:val="center"/>
            </w:pPr>
          </w:p>
        </w:tc>
        <w:tc>
          <w:tcPr>
            <w:tcW w:w="1390" w:type="dxa"/>
          </w:tcPr>
          <w:p w:rsidR="00A41C1C" w:rsidRDefault="00A41C1C" w:rsidP="00A41C1C">
            <w:pPr>
              <w:jc w:val="center"/>
            </w:pPr>
          </w:p>
        </w:tc>
        <w:tc>
          <w:tcPr>
            <w:tcW w:w="1390" w:type="dxa"/>
          </w:tcPr>
          <w:p w:rsidR="00A41C1C" w:rsidRDefault="00A41C1C" w:rsidP="00A41C1C">
            <w:pPr>
              <w:jc w:val="center"/>
            </w:pPr>
          </w:p>
        </w:tc>
      </w:tr>
      <w:tr w:rsidR="00A41C1C" w:rsidTr="009C2EA7">
        <w:tc>
          <w:tcPr>
            <w:tcW w:w="2355" w:type="dxa"/>
          </w:tcPr>
          <w:p w:rsidR="00A41C1C" w:rsidRDefault="00A41C1C" w:rsidP="00A41C1C">
            <w:r>
              <w:t xml:space="preserve">Skin </w:t>
            </w:r>
          </w:p>
        </w:tc>
        <w:tc>
          <w:tcPr>
            <w:tcW w:w="1480" w:type="dxa"/>
          </w:tcPr>
          <w:p w:rsidR="00A41C1C" w:rsidRDefault="00A41C1C" w:rsidP="00A41C1C">
            <w:pPr>
              <w:jc w:val="center"/>
            </w:pPr>
            <w:r>
              <w:t>0</w:t>
            </w:r>
          </w:p>
        </w:tc>
        <w:tc>
          <w:tcPr>
            <w:tcW w:w="1480" w:type="dxa"/>
          </w:tcPr>
          <w:p w:rsidR="00A41C1C" w:rsidRDefault="00ED282C" w:rsidP="00A41C1C">
            <w:pPr>
              <w:jc w:val="center"/>
            </w:pPr>
            <w:r>
              <w:t>1</w:t>
            </w:r>
          </w:p>
        </w:tc>
        <w:tc>
          <w:tcPr>
            <w:tcW w:w="1480" w:type="dxa"/>
          </w:tcPr>
          <w:p w:rsidR="00A41C1C" w:rsidRDefault="00A41C1C" w:rsidP="00A41C1C">
            <w:pPr>
              <w:jc w:val="center"/>
            </w:pPr>
          </w:p>
        </w:tc>
        <w:tc>
          <w:tcPr>
            <w:tcW w:w="1390" w:type="dxa"/>
          </w:tcPr>
          <w:p w:rsidR="00A41C1C" w:rsidRDefault="00A41C1C" w:rsidP="00A41C1C">
            <w:pPr>
              <w:jc w:val="center"/>
            </w:pPr>
          </w:p>
        </w:tc>
        <w:tc>
          <w:tcPr>
            <w:tcW w:w="1390" w:type="dxa"/>
          </w:tcPr>
          <w:p w:rsidR="00A41C1C" w:rsidRDefault="00A41C1C" w:rsidP="00A41C1C">
            <w:pPr>
              <w:jc w:val="center"/>
            </w:pPr>
          </w:p>
        </w:tc>
      </w:tr>
      <w:tr w:rsidR="00A41C1C" w:rsidTr="009C2EA7">
        <w:tc>
          <w:tcPr>
            <w:tcW w:w="2355" w:type="dxa"/>
          </w:tcPr>
          <w:p w:rsidR="00A41C1C" w:rsidRDefault="00A41C1C" w:rsidP="00A41C1C">
            <w:r>
              <w:t xml:space="preserve">Gastrointestinal </w:t>
            </w:r>
          </w:p>
        </w:tc>
        <w:tc>
          <w:tcPr>
            <w:tcW w:w="1480" w:type="dxa"/>
          </w:tcPr>
          <w:p w:rsidR="00A41C1C" w:rsidRDefault="00A41C1C" w:rsidP="00A41C1C">
            <w:pPr>
              <w:jc w:val="center"/>
            </w:pPr>
            <w:r>
              <w:t>0</w:t>
            </w:r>
          </w:p>
        </w:tc>
        <w:tc>
          <w:tcPr>
            <w:tcW w:w="1480" w:type="dxa"/>
          </w:tcPr>
          <w:p w:rsidR="00A41C1C" w:rsidRDefault="00184931" w:rsidP="00A41C1C">
            <w:pPr>
              <w:jc w:val="center"/>
            </w:pPr>
            <w:r>
              <w:t>0</w:t>
            </w:r>
          </w:p>
        </w:tc>
        <w:tc>
          <w:tcPr>
            <w:tcW w:w="1480" w:type="dxa"/>
          </w:tcPr>
          <w:p w:rsidR="00A41C1C" w:rsidRDefault="00A41C1C" w:rsidP="00A41C1C">
            <w:pPr>
              <w:jc w:val="center"/>
            </w:pPr>
          </w:p>
        </w:tc>
        <w:tc>
          <w:tcPr>
            <w:tcW w:w="1390" w:type="dxa"/>
          </w:tcPr>
          <w:p w:rsidR="00A41C1C" w:rsidRDefault="00A41C1C" w:rsidP="00A41C1C">
            <w:pPr>
              <w:jc w:val="center"/>
            </w:pPr>
          </w:p>
        </w:tc>
        <w:tc>
          <w:tcPr>
            <w:tcW w:w="1390" w:type="dxa"/>
          </w:tcPr>
          <w:p w:rsidR="00A41C1C" w:rsidRDefault="00A41C1C" w:rsidP="00A41C1C">
            <w:pPr>
              <w:jc w:val="center"/>
            </w:pPr>
          </w:p>
        </w:tc>
      </w:tr>
      <w:tr w:rsidR="00A41C1C" w:rsidTr="009C2EA7">
        <w:tc>
          <w:tcPr>
            <w:tcW w:w="2355" w:type="dxa"/>
          </w:tcPr>
          <w:p w:rsidR="00A41C1C" w:rsidRDefault="00A41C1C" w:rsidP="00A41C1C">
            <w:r>
              <w:t>Other</w:t>
            </w:r>
          </w:p>
        </w:tc>
        <w:tc>
          <w:tcPr>
            <w:tcW w:w="1480" w:type="dxa"/>
          </w:tcPr>
          <w:p w:rsidR="00A41C1C" w:rsidRDefault="00A41C1C" w:rsidP="00A41C1C">
            <w:pPr>
              <w:jc w:val="center"/>
            </w:pPr>
            <w:r>
              <w:t>2</w:t>
            </w:r>
          </w:p>
        </w:tc>
        <w:tc>
          <w:tcPr>
            <w:tcW w:w="1480" w:type="dxa"/>
          </w:tcPr>
          <w:p w:rsidR="00A41C1C" w:rsidRDefault="00ED282C" w:rsidP="00A41C1C">
            <w:pPr>
              <w:jc w:val="center"/>
            </w:pPr>
            <w:r>
              <w:t>6</w:t>
            </w:r>
          </w:p>
        </w:tc>
        <w:tc>
          <w:tcPr>
            <w:tcW w:w="1480" w:type="dxa"/>
          </w:tcPr>
          <w:p w:rsidR="00A41C1C" w:rsidRDefault="00A41C1C" w:rsidP="00A41C1C">
            <w:pPr>
              <w:jc w:val="center"/>
            </w:pPr>
          </w:p>
        </w:tc>
        <w:tc>
          <w:tcPr>
            <w:tcW w:w="1390" w:type="dxa"/>
          </w:tcPr>
          <w:p w:rsidR="00A41C1C" w:rsidRDefault="00A41C1C" w:rsidP="00A41C1C">
            <w:pPr>
              <w:jc w:val="center"/>
            </w:pPr>
          </w:p>
        </w:tc>
        <w:tc>
          <w:tcPr>
            <w:tcW w:w="1390" w:type="dxa"/>
          </w:tcPr>
          <w:p w:rsidR="00A41C1C" w:rsidRDefault="00A41C1C" w:rsidP="00A41C1C">
            <w:pPr>
              <w:jc w:val="center"/>
            </w:pPr>
          </w:p>
        </w:tc>
      </w:tr>
      <w:tr w:rsidR="00A41C1C" w:rsidTr="009C2EA7">
        <w:tc>
          <w:tcPr>
            <w:tcW w:w="2355" w:type="dxa"/>
          </w:tcPr>
          <w:p w:rsidR="00A41C1C" w:rsidRDefault="00A41C1C" w:rsidP="00A41C1C"/>
        </w:tc>
        <w:tc>
          <w:tcPr>
            <w:tcW w:w="1480" w:type="dxa"/>
          </w:tcPr>
          <w:p w:rsidR="00A41C1C" w:rsidRDefault="00A41C1C" w:rsidP="00A41C1C">
            <w:pPr>
              <w:jc w:val="center"/>
            </w:pPr>
          </w:p>
        </w:tc>
        <w:tc>
          <w:tcPr>
            <w:tcW w:w="1480" w:type="dxa"/>
          </w:tcPr>
          <w:p w:rsidR="00A41C1C" w:rsidRDefault="00A41C1C" w:rsidP="00A41C1C">
            <w:pPr>
              <w:jc w:val="center"/>
            </w:pPr>
          </w:p>
        </w:tc>
        <w:tc>
          <w:tcPr>
            <w:tcW w:w="1480" w:type="dxa"/>
          </w:tcPr>
          <w:p w:rsidR="00A41C1C" w:rsidRDefault="00A41C1C" w:rsidP="00A41C1C">
            <w:pPr>
              <w:jc w:val="center"/>
            </w:pPr>
          </w:p>
        </w:tc>
        <w:tc>
          <w:tcPr>
            <w:tcW w:w="1390" w:type="dxa"/>
          </w:tcPr>
          <w:p w:rsidR="00A41C1C" w:rsidRDefault="00A41C1C" w:rsidP="00A41C1C">
            <w:pPr>
              <w:jc w:val="center"/>
            </w:pPr>
          </w:p>
        </w:tc>
        <w:tc>
          <w:tcPr>
            <w:tcW w:w="1390" w:type="dxa"/>
          </w:tcPr>
          <w:p w:rsidR="00A41C1C" w:rsidRDefault="00A41C1C" w:rsidP="00A41C1C">
            <w:pPr>
              <w:jc w:val="center"/>
            </w:pPr>
          </w:p>
        </w:tc>
      </w:tr>
      <w:tr w:rsidR="00A41C1C" w:rsidTr="009C2EA7">
        <w:tc>
          <w:tcPr>
            <w:tcW w:w="2355" w:type="dxa"/>
          </w:tcPr>
          <w:p w:rsidR="00A41C1C" w:rsidRDefault="00A41C1C" w:rsidP="00A41C1C">
            <w:r>
              <w:t xml:space="preserve">Total </w:t>
            </w:r>
          </w:p>
        </w:tc>
        <w:tc>
          <w:tcPr>
            <w:tcW w:w="1480" w:type="dxa"/>
          </w:tcPr>
          <w:p w:rsidR="00A41C1C" w:rsidRDefault="00A41C1C" w:rsidP="00A41C1C">
            <w:pPr>
              <w:jc w:val="center"/>
            </w:pPr>
            <w:r>
              <w:t>11</w:t>
            </w:r>
          </w:p>
        </w:tc>
        <w:tc>
          <w:tcPr>
            <w:tcW w:w="1480" w:type="dxa"/>
          </w:tcPr>
          <w:p w:rsidR="00A41C1C" w:rsidRDefault="00ED282C" w:rsidP="00A41C1C">
            <w:pPr>
              <w:jc w:val="center"/>
            </w:pPr>
            <w:r>
              <w:t>16</w:t>
            </w:r>
          </w:p>
        </w:tc>
        <w:tc>
          <w:tcPr>
            <w:tcW w:w="1480" w:type="dxa"/>
          </w:tcPr>
          <w:p w:rsidR="00A41C1C" w:rsidRDefault="00A41C1C" w:rsidP="00A41C1C">
            <w:pPr>
              <w:jc w:val="center"/>
            </w:pPr>
          </w:p>
        </w:tc>
        <w:tc>
          <w:tcPr>
            <w:tcW w:w="1390" w:type="dxa"/>
          </w:tcPr>
          <w:p w:rsidR="00A41C1C" w:rsidRDefault="00A41C1C" w:rsidP="00A41C1C">
            <w:pPr>
              <w:jc w:val="center"/>
            </w:pPr>
          </w:p>
        </w:tc>
        <w:tc>
          <w:tcPr>
            <w:tcW w:w="1390" w:type="dxa"/>
          </w:tcPr>
          <w:p w:rsidR="00A41C1C" w:rsidRDefault="00A41C1C" w:rsidP="00A41C1C">
            <w:pPr>
              <w:jc w:val="center"/>
            </w:pPr>
          </w:p>
        </w:tc>
      </w:tr>
      <w:tr w:rsidR="00EC23B2" w:rsidTr="005B5C4A">
        <w:tc>
          <w:tcPr>
            <w:tcW w:w="8185" w:type="dxa"/>
            <w:gridSpan w:val="5"/>
            <w:shd w:val="clear" w:color="auto" w:fill="BFBFBF" w:themeFill="background1" w:themeFillShade="BF"/>
          </w:tcPr>
          <w:p w:rsidR="00EC23B2" w:rsidRDefault="00EC23B2" w:rsidP="00AC4680">
            <w:pPr>
              <w:jc w:val="center"/>
            </w:pPr>
          </w:p>
        </w:tc>
        <w:tc>
          <w:tcPr>
            <w:tcW w:w="1390" w:type="dxa"/>
            <w:shd w:val="clear" w:color="auto" w:fill="BFBFBF" w:themeFill="background1" w:themeFillShade="BF"/>
          </w:tcPr>
          <w:p w:rsidR="00EC23B2" w:rsidRDefault="00EC23B2" w:rsidP="00AC4680">
            <w:pPr>
              <w:jc w:val="center"/>
            </w:pPr>
          </w:p>
        </w:tc>
      </w:tr>
      <w:tr w:rsidR="00EC23B2" w:rsidTr="005B5C4A">
        <w:tc>
          <w:tcPr>
            <w:tcW w:w="2355" w:type="dxa"/>
          </w:tcPr>
          <w:p w:rsidR="00EC23B2" w:rsidRPr="00F05E23" w:rsidRDefault="00EC23B2" w:rsidP="00AC4680">
            <w:pPr>
              <w:rPr>
                <w:rFonts w:ascii="Calibri" w:hAnsi="Calibri"/>
                <w:b/>
                <w:bCs/>
                <w:color w:val="000000"/>
              </w:rPr>
            </w:pPr>
            <w:r w:rsidRPr="00F05E23">
              <w:rPr>
                <w:rFonts w:ascii="Calibri" w:hAnsi="Calibri"/>
                <w:b/>
                <w:bCs/>
                <w:color w:val="000000"/>
              </w:rPr>
              <w:t>Incident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Rate </w:t>
            </w:r>
            <w:r w:rsidRPr="00F05E23">
              <w:rPr>
                <w:rFonts w:ascii="Calibri" w:hAnsi="Calibri"/>
                <w:b/>
                <w:bCs/>
                <w:color w:val="000000"/>
              </w:rPr>
              <w:t>Per 1000 Resident Days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EC23B2" w:rsidRDefault="00EC23B2" w:rsidP="00EC23B2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Q1</w:t>
            </w:r>
          </w:p>
          <w:p w:rsidR="00EC23B2" w:rsidRPr="008E070D" w:rsidRDefault="00EC23B2" w:rsidP="00A41C1C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</w:t>
            </w:r>
            <w:r w:rsidR="00A41C1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1/22</w:t>
            </w:r>
          </w:p>
        </w:tc>
        <w:tc>
          <w:tcPr>
            <w:tcW w:w="1480" w:type="dxa"/>
          </w:tcPr>
          <w:p w:rsidR="00EC23B2" w:rsidRDefault="00EC23B2" w:rsidP="002A3CF7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Q1</w:t>
            </w:r>
          </w:p>
          <w:p w:rsidR="00EC23B2" w:rsidRPr="008E070D" w:rsidRDefault="00A41C1C" w:rsidP="002A3CF7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2022/23</w:t>
            </w:r>
          </w:p>
        </w:tc>
        <w:tc>
          <w:tcPr>
            <w:tcW w:w="1480" w:type="dxa"/>
          </w:tcPr>
          <w:p w:rsidR="00EC23B2" w:rsidRDefault="00EC23B2" w:rsidP="002A3CF7">
            <w:pPr>
              <w:ind w:left="-108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Q2</w:t>
            </w:r>
          </w:p>
          <w:p w:rsidR="00EC23B2" w:rsidRPr="008E070D" w:rsidRDefault="00A41C1C" w:rsidP="002A3CF7">
            <w:pPr>
              <w:ind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2022/23</w:t>
            </w:r>
          </w:p>
        </w:tc>
        <w:tc>
          <w:tcPr>
            <w:tcW w:w="1390" w:type="dxa"/>
          </w:tcPr>
          <w:p w:rsidR="00EC23B2" w:rsidRDefault="00EC23B2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Q3</w:t>
            </w:r>
          </w:p>
          <w:p w:rsidR="00EC23B2" w:rsidRPr="008E070D" w:rsidRDefault="00A41C1C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2022/23</w:t>
            </w:r>
          </w:p>
        </w:tc>
        <w:tc>
          <w:tcPr>
            <w:tcW w:w="1390" w:type="dxa"/>
          </w:tcPr>
          <w:p w:rsidR="00EC23B2" w:rsidRDefault="00EC23B2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Q4</w:t>
            </w:r>
          </w:p>
          <w:p w:rsidR="00EC23B2" w:rsidRDefault="00A41C1C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2022/23</w:t>
            </w:r>
          </w:p>
        </w:tc>
      </w:tr>
      <w:tr w:rsidR="00A41C1C" w:rsidTr="009C2EA7">
        <w:tc>
          <w:tcPr>
            <w:tcW w:w="2355" w:type="dxa"/>
          </w:tcPr>
          <w:p w:rsidR="00A41C1C" w:rsidRDefault="00A41C1C" w:rsidP="00A41C1C">
            <w:r>
              <w:t>Respiratory</w:t>
            </w:r>
          </w:p>
        </w:tc>
        <w:tc>
          <w:tcPr>
            <w:tcW w:w="1480" w:type="dxa"/>
            <w:vAlign w:val="bottom"/>
          </w:tcPr>
          <w:p w:rsidR="00A41C1C" w:rsidRPr="00FB190F" w:rsidRDefault="00A41C1C" w:rsidP="00A41C1C">
            <w:pPr>
              <w:ind w:left="-108" w:right="-3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0.26</w:t>
            </w:r>
          </w:p>
        </w:tc>
        <w:tc>
          <w:tcPr>
            <w:tcW w:w="1480" w:type="dxa"/>
            <w:vAlign w:val="bottom"/>
          </w:tcPr>
          <w:p w:rsidR="00A41C1C" w:rsidRPr="00FB190F" w:rsidRDefault="00184931" w:rsidP="00A41C1C">
            <w:pPr>
              <w:ind w:left="-108" w:right="-3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0.13</w:t>
            </w:r>
          </w:p>
        </w:tc>
        <w:tc>
          <w:tcPr>
            <w:tcW w:w="1480" w:type="dxa"/>
          </w:tcPr>
          <w:p w:rsidR="00A41C1C" w:rsidRPr="00FB190F" w:rsidRDefault="00A41C1C" w:rsidP="00A41C1C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</w:tcPr>
          <w:p w:rsidR="00A41C1C" w:rsidRDefault="00A41C1C" w:rsidP="00A41C1C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</w:tcPr>
          <w:p w:rsidR="00A41C1C" w:rsidRDefault="00A41C1C" w:rsidP="00A41C1C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A41C1C" w:rsidTr="009C2EA7">
        <w:tc>
          <w:tcPr>
            <w:tcW w:w="2355" w:type="dxa"/>
          </w:tcPr>
          <w:p w:rsidR="00A41C1C" w:rsidRDefault="00A41C1C" w:rsidP="00A41C1C">
            <w:r>
              <w:t xml:space="preserve">Urinary Tract </w:t>
            </w:r>
          </w:p>
        </w:tc>
        <w:tc>
          <w:tcPr>
            <w:tcW w:w="1480" w:type="dxa"/>
            <w:vAlign w:val="bottom"/>
          </w:tcPr>
          <w:p w:rsidR="00A41C1C" w:rsidRPr="00FB190F" w:rsidRDefault="00A41C1C" w:rsidP="00A41C1C">
            <w:pPr>
              <w:ind w:left="-108" w:right="-3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0.92</w:t>
            </w:r>
          </w:p>
        </w:tc>
        <w:tc>
          <w:tcPr>
            <w:tcW w:w="1480" w:type="dxa"/>
            <w:vAlign w:val="bottom"/>
          </w:tcPr>
          <w:p w:rsidR="00A41C1C" w:rsidRPr="00FB190F" w:rsidRDefault="00184931" w:rsidP="00A41C1C">
            <w:pPr>
              <w:ind w:left="-108" w:right="-3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1.04</w:t>
            </w:r>
          </w:p>
        </w:tc>
        <w:tc>
          <w:tcPr>
            <w:tcW w:w="1480" w:type="dxa"/>
          </w:tcPr>
          <w:p w:rsidR="00A41C1C" w:rsidRPr="00FB190F" w:rsidRDefault="00A41C1C" w:rsidP="00A41C1C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</w:tcPr>
          <w:p w:rsidR="00A41C1C" w:rsidRDefault="00A41C1C" w:rsidP="00A41C1C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</w:tcPr>
          <w:p w:rsidR="00A41C1C" w:rsidRDefault="00A41C1C" w:rsidP="00A41C1C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A41C1C" w:rsidTr="009C2EA7">
        <w:tc>
          <w:tcPr>
            <w:tcW w:w="2355" w:type="dxa"/>
          </w:tcPr>
          <w:p w:rsidR="00A41C1C" w:rsidRDefault="00A41C1C" w:rsidP="00A41C1C">
            <w:r>
              <w:t xml:space="preserve">Skin </w:t>
            </w:r>
          </w:p>
        </w:tc>
        <w:tc>
          <w:tcPr>
            <w:tcW w:w="1480" w:type="dxa"/>
            <w:vAlign w:val="bottom"/>
          </w:tcPr>
          <w:p w:rsidR="00A41C1C" w:rsidRPr="00FB190F" w:rsidRDefault="00A41C1C" w:rsidP="00A41C1C">
            <w:pPr>
              <w:ind w:left="-108" w:right="-3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</w:t>
            </w:r>
          </w:p>
        </w:tc>
        <w:tc>
          <w:tcPr>
            <w:tcW w:w="1480" w:type="dxa"/>
            <w:vAlign w:val="bottom"/>
          </w:tcPr>
          <w:p w:rsidR="00A41C1C" w:rsidRPr="00FB190F" w:rsidRDefault="00184931" w:rsidP="00A41C1C">
            <w:pPr>
              <w:ind w:left="-108" w:right="-3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0.13</w:t>
            </w:r>
          </w:p>
        </w:tc>
        <w:tc>
          <w:tcPr>
            <w:tcW w:w="1480" w:type="dxa"/>
          </w:tcPr>
          <w:p w:rsidR="00A41C1C" w:rsidRPr="00FB190F" w:rsidRDefault="00A41C1C" w:rsidP="00A41C1C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</w:tcPr>
          <w:p w:rsidR="00A41C1C" w:rsidRDefault="00A41C1C" w:rsidP="00A41C1C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</w:tcPr>
          <w:p w:rsidR="00A41C1C" w:rsidRDefault="00A41C1C" w:rsidP="00A41C1C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A41C1C" w:rsidTr="009C2EA7">
        <w:tc>
          <w:tcPr>
            <w:tcW w:w="2355" w:type="dxa"/>
          </w:tcPr>
          <w:p w:rsidR="00A41C1C" w:rsidRDefault="00A41C1C" w:rsidP="00A41C1C">
            <w:r>
              <w:t xml:space="preserve">Gastrointestinal </w:t>
            </w:r>
          </w:p>
        </w:tc>
        <w:tc>
          <w:tcPr>
            <w:tcW w:w="1480" w:type="dxa"/>
            <w:vAlign w:val="bottom"/>
          </w:tcPr>
          <w:p w:rsidR="00A41C1C" w:rsidRPr="00FB190F" w:rsidRDefault="00A41C1C" w:rsidP="00A41C1C">
            <w:pPr>
              <w:ind w:left="-108" w:right="-3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</w:t>
            </w:r>
          </w:p>
        </w:tc>
        <w:tc>
          <w:tcPr>
            <w:tcW w:w="1480" w:type="dxa"/>
            <w:vAlign w:val="bottom"/>
          </w:tcPr>
          <w:p w:rsidR="00A41C1C" w:rsidRPr="00FB190F" w:rsidRDefault="00184931" w:rsidP="00A41C1C">
            <w:pPr>
              <w:ind w:left="-108" w:right="-3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</w:t>
            </w:r>
          </w:p>
        </w:tc>
        <w:tc>
          <w:tcPr>
            <w:tcW w:w="1480" w:type="dxa"/>
          </w:tcPr>
          <w:p w:rsidR="00A41C1C" w:rsidRPr="00FB190F" w:rsidRDefault="00A41C1C" w:rsidP="00A41C1C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</w:tcPr>
          <w:p w:rsidR="00A41C1C" w:rsidRDefault="00A41C1C" w:rsidP="00A41C1C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</w:tcPr>
          <w:p w:rsidR="00A41C1C" w:rsidRDefault="00A41C1C" w:rsidP="00A41C1C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A41C1C" w:rsidTr="009C2EA7">
        <w:tc>
          <w:tcPr>
            <w:tcW w:w="2355" w:type="dxa"/>
          </w:tcPr>
          <w:p w:rsidR="00A41C1C" w:rsidRDefault="00A41C1C" w:rsidP="00A41C1C">
            <w:r>
              <w:t>Other</w:t>
            </w:r>
          </w:p>
        </w:tc>
        <w:tc>
          <w:tcPr>
            <w:tcW w:w="1480" w:type="dxa"/>
          </w:tcPr>
          <w:p w:rsidR="00A41C1C" w:rsidRDefault="00A41C1C" w:rsidP="00A41C1C">
            <w:pPr>
              <w:ind w:left="-120" w:right="-33"/>
              <w:jc w:val="center"/>
            </w:pPr>
            <w:r>
              <w:t>0.26</w:t>
            </w:r>
          </w:p>
        </w:tc>
        <w:tc>
          <w:tcPr>
            <w:tcW w:w="1480" w:type="dxa"/>
          </w:tcPr>
          <w:p w:rsidR="00A41C1C" w:rsidRDefault="00184931" w:rsidP="00A41C1C">
            <w:pPr>
              <w:ind w:left="-120" w:right="-33"/>
              <w:jc w:val="center"/>
            </w:pPr>
            <w:r>
              <w:t>0.78</w:t>
            </w:r>
          </w:p>
        </w:tc>
        <w:tc>
          <w:tcPr>
            <w:tcW w:w="1480" w:type="dxa"/>
          </w:tcPr>
          <w:p w:rsidR="00A41C1C" w:rsidRDefault="00A41C1C" w:rsidP="00A41C1C">
            <w:pPr>
              <w:ind w:left="-108"/>
              <w:jc w:val="center"/>
            </w:pPr>
          </w:p>
        </w:tc>
        <w:tc>
          <w:tcPr>
            <w:tcW w:w="1390" w:type="dxa"/>
          </w:tcPr>
          <w:p w:rsidR="00A41C1C" w:rsidRDefault="00A41C1C" w:rsidP="00A41C1C">
            <w:pPr>
              <w:ind w:left="-108"/>
              <w:jc w:val="center"/>
            </w:pPr>
          </w:p>
        </w:tc>
        <w:tc>
          <w:tcPr>
            <w:tcW w:w="1390" w:type="dxa"/>
          </w:tcPr>
          <w:p w:rsidR="00A41C1C" w:rsidRDefault="00A41C1C" w:rsidP="00A41C1C">
            <w:pPr>
              <w:ind w:left="-108"/>
              <w:jc w:val="center"/>
            </w:pPr>
          </w:p>
        </w:tc>
      </w:tr>
      <w:tr w:rsidR="00A41C1C" w:rsidTr="009C2EA7">
        <w:tc>
          <w:tcPr>
            <w:tcW w:w="2355" w:type="dxa"/>
          </w:tcPr>
          <w:p w:rsidR="00A41C1C" w:rsidRDefault="00A41C1C" w:rsidP="00A41C1C"/>
        </w:tc>
        <w:tc>
          <w:tcPr>
            <w:tcW w:w="1480" w:type="dxa"/>
          </w:tcPr>
          <w:p w:rsidR="00A41C1C" w:rsidRDefault="00A41C1C" w:rsidP="00A41C1C">
            <w:pPr>
              <w:jc w:val="center"/>
            </w:pPr>
          </w:p>
        </w:tc>
        <w:tc>
          <w:tcPr>
            <w:tcW w:w="1480" w:type="dxa"/>
          </w:tcPr>
          <w:p w:rsidR="00A41C1C" w:rsidRDefault="00A41C1C" w:rsidP="00A41C1C">
            <w:pPr>
              <w:jc w:val="center"/>
            </w:pPr>
          </w:p>
        </w:tc>
        <w:tc>
          <w:tcPr>
            <w:tcW w:w="1480" w:type="dxa"/>
          </w:tcPr>
          <w:p w:rsidR="00A41C1C" w:rsidRDefault="00A41C1C" w:rsidP="00A41C1C">
            <w:pPr>
              <w:jc w:val="center"/>
            </w:pPr>
          </w:p>
        </w:tc>
        <w:tc>
          <w:tcPr>
            <w:tcW w:w="1390" w:type="dxa"/>
          </w:tcPr>
          <w:p w:rsidR="00A41C1C" w:rsidRDefault="00A41C1C" w:rsidP="00A41C1C">
            <w:pPr>
              <w:jc w:val="center"/>
            </w:pPr>
          </w:p>
        </w:tc>
        <w:tc>
          <w:tcPr>
            <w:tcW w:w="1390" w:type="dxa"/>
          </w:tcPr>
          <w:p w:rsidR="00A41C1C" w:rsidRDefault="00A41C1C" w:rsidP="00A41C1C">
            <w:pPr>
              <w:jc w:val="center"/>
            </w:pPr>
          </w:p>
        </w:tc>
      </w:tr>
      <w:tr w:rsidR="00A41C1C" w:rsidTr="009C2EA7">
        <w:tc>
          <w:tcPr>
            <w:tcW w:w="2355" w:type="dxa"/>
          </w:tcPr>
          <w:p w:rsidR="00A41C1C" w:rsidRDefault="00A41C1C" w:rsidP="00A41C1C">
            <w:r>
              <w:t xml:space="preserve">Total </w:t>
            </w:r>
          </w:p>
        </w:tc>
        <w:tc>
          <w:tcPr>
            <w:tcW w:w="1480" w:type="dxa"/>
          </w:tcPr>
          <w:p w:rsidR="00A41C1C" w:rsidRDefault="00A41C1C" w:rsidP="00A41C1C">
            <w:pPr>
              <w:ind w:left="-108"/>
              <w:jc w:val="center"/>
            </w:pPr>
            <w:r>
              <w:t>1.44</w:t>
            </w:r>
          </w:p>
        </w:tc>
        <w:tc>
          <w:tcPr>
            <w:tcW w:w="1480" w:type="dxa"/>
          </w:tcPr>
          <w:p w:rsidR="00A41C1C" w:rsidRDefault="00184931" w:rsidP="00A41C1C">
            <w:pPr>
              <w:ind w:left="-108"/>
              <w:jc w:val="center"/>
            </w:pPr>
            <w:r>
              <w:t>2.08</w:t>
            </w:r>
          </w:p>
        </w:tc>
        <w:tc>
          <w:tcPr>
            <w:tcW w:w="1480" w:type="dxa"/>
          </w:tcPr>
          <w:p w:rsidR="00A41C1C" w:rsidRDefault="00A41C1C" w:rsidP="00A41C1C">
            <w:pPr>
              <w:ind w:left="-108"/>
              <w:jc w:val="center"/>
            </w:pPr>
          </w:p>
        </w:tc>
        <w:tc>
          <w:tcPr>
            <w:tcW w:w="1390" w:type="dxa"/>
          </w:tcPr>
          <w:p w:rsidR="00A41C1C" w:rsidRDefault="00A41C1C" w:rsidP="00A41C1C">
            <w:pPr>
              <w:ind w:left="-108"/>
              <w:jc w:val="center"/>
            </w:pPr>
          </w:p>
        </w:tc>
        <w:tc>
          <w:tcPr>
            <w:tcW w:w="1390" w:type="dxa"/>
          </w:tcPr>
          <w:p w:rsidR="00A41C1C" w:rsidRDefault="00A41C1C" w:rsidP="00A41C1C">
            <w:pPr>
              <w:ind w:left="-108"/>
              <w:jc w:val="center"/>
            </w:pPr>
          </w:p>
        </w:tc>
      </w:tr>
    </w:tbl>
    <w:p w:rsidR="00D70818" w:rsidRDefault="00D70818" w:rsidP="00D70818"/>
    <w:p w:rsidR="00E964A8" w:rsidRDefault="00E964A8" w:rsidP="00D70818"/>
    <w:p w:rsidR="00D70818" w:rsidRDefault="00E964A8" w:rsidP="00D70818">
      <w:r w:rsidRPr="00E964A8">
        <w:rPr>
          <w:noProof/>
          <w:bdr w:val="single" w:sz="6" w:space="0" w:color="auto"/>
          <w:lang w:val="en-CA" w:eastAsia="en-CA"/>
        </w:rPr>
        <w:drawing>
          <wp:inline distT="0" distB="0" distL="0" distR="0">
            <wp:extent cx="6099810" cy="3135085"/>
            <wp:effectExtent l="0" t="0" r="15240" b="825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0818" w:rsidRDefault="00D70818" w:rsidP="00D70818"/>
    <w:p w:rsidR="00D70818" w:rsidRDefault="00D70818" w:rsidP="00D70818"/>
    <w:p w:rsidR="00D70818" w:rsidRDefault="00D70818" w:rsidP="00D70818">
      <w:r>
        <w:rPr>
          <w:noProof/>
          <w:lang w:val="en-CA" w:eastAsia="en-CA"/>
        </w:rPr>
        <w:drawing>
          <wp:inline distT="0" distB="0" distL="0" distR="0">
            <wp:extent cx="6112873" cy="3317875"/>
            <wp:effectExtent l="0" t="0" r="2540" b="1587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0818" w:rsidRDefault="00D70818" w:rsidP="00D70818"/>
    <w:p w:rsidR="00D70818" w:rsidRDefault="00D70818" w:rsidP="00D70818">
      <w:pPr>
        <w:rPr>
          <w:b/>
        </w:rPr>
      </w:pPr>
      <w:r w:rsidRPr="00A72ADF">
        <w:rPr>
          <w:b/>
        </w:rPr>
        <w:t>Comments:</w:t>
      </w:r>
    </w:p>
    <w:p w:rsidR="00D70818" w:rsidRPr="00BD20D8" w:rsidRDefault="00D70818" w:rsidP="00D70818">
      <w:pPr>
        <w:rPr>
          <w:b/>
          <w:sz w:val="16"/>
          <w:szCs w:val="16"/>
        </w:rPr>
      </w:pPr>
    </w:p>
    <w:p w:rsidR="002673C2" w:rsidRDefault="002673C2" w:rsidP="00D70818"/>
    <w:p w:rsidR="00D36E35" w:rsidRPr="00D36E35" w:rsidRDefault="00824EE2" w:rsidP="00D70818">
      <w:r>
        <w:t>The tota</w:t>
      </w:r>
      <w:r w:rsidR="0075755D">
        <w:t>l</w:t>
      </w:r>
      <w:r w:rsidR="00BE43E5">
        <w:t xml:space="preserve"> </w:t>
      </w:r>
      <w:r w:rsidR="00AB02B2">
        <w:t>number of infections for the 1st</w:t>
      </w:r>
      <w:r>
        <w:t xml:space="preserve"> quarter </w:t>
      </w:r>
      <w:r w:rsidR="00F92D1D">
        <w:t>(</w:t>
      </w:r>
      <w:r w:rsidR="00184931">
        <w:t>16</w:t>
      </w:r>
      <w:r w:rsidR="00F92D1D">
        <w:t>)</w:t>
      </w:r>
      <w:r w:rsidR="001253A1">
        <w:t xml:space="preserve"> shows a</w:t>
      </w:r>
      <w:r w:rsidR="00184931">
        <w:t>n increase</w:t>
      </w:r>
      <w:r w:rsidR="0075755D">
        <w:t xml:space="preserve"> </w:t>
      </w:r>
      <w:r w:rsidR="00990981">
        <w:t>over the</w:t>
      </w:r>
      <w:r w:rsidR="002673C2">
        <w:t xml:space="preserve"> same period of last year at </w:t>
      </w:r>
      <w:r w:rsidR="00F92D1D">
        <w:t>(</w:t>
      </w:r>
      <w:r w:rsidR="00184931">
        <w:t>11</w:t>
      </w:r>
      <w:r w:rsidR="00F92D1D">
        <w:t>)</w:t>
      </w:r>
      <w:r w:rsidR="0075755D">
        <w:t xml:space="preserve"> and </w:t>
      </w:r>
      <w:r w:rsidR="00BE43E5">
        <w:t xml:space="preserve">a </w:t>
      </w:r>
      <w:r w:rsidR="00184931">
        <w:t xml:space="preserve">significant </w:t>
      </w:r>
      <w:r w:rsidR="00AB02B2">
        <w:t>decrease</w:t>
      </w:r>
      <w:r w:rsidR="00BE43E5">
        <w:t xml:space="preserve"> compared to </w:t>
      </w:r>
      <w:r w:rsidR="00F47391">
        <w:t>the previous</w:t>
      </w:r>
      <w:r w:rsidR="00184931">
        <w:t xml:space="preserve"> quarter (71, 61 were COVID infections</w:t>
      </w:r>
      <w:r w:rsidR="00990981">
        <w:t>).</w:t>
      </w:r>
    </w:p>
    <w:p w:rsidR="00D36E35" w:rsidRDefault="00D36E35" w:rsidP="00D70818">
      <w:pPr>
        <w:rPr>
          <w:b/>
        </w:rPr>
      </w:pPr>
    </w:p>
    <w:p w:rsidR="00A335D1" w:rsidRDefault="00D70818" w:rsidP="00D70818">
      <w:pPr>
        <w:rPr>
          <w:b/>
        </w:rPr>
      </w:pPr>
      <w:r>
        <w:rPr>
          <w:b/>
        </w:rPr>
        <w:t>Respiratory Infections</w:t>
      </w:r>
      <w:r w:rsidR="008D5EA6">
        <w:rPr>
          <w:b/>
        </w:rPr>
        <w:t xml:space="preserve"> </w:t>
      </w:r>
    </w:p>
    <w:p w:rsidR="00DA152B" w:rsidRDefault="00D70818" w:rsidP="00D70818">
      <w:r>
        <w:t>The numbe</w:t>
      </w:r>
      <w:r w:rsidR="008A3793">
        <w:t xml:space="preserve">r of respiratory infections </w:t>
      </w:r>
      <w:r w:rsidR="008537FE">
        <w:t>shows a</w:t>
      </w:r>
      <w:r w:rsidR="00BE43E5">
        <w:t xml:space="preserve"> de</w:t>
      </w:r>
      <w:r w:rsidR="00990981">
        <w:t>crease</w:t>
      </w:r>
      <w:r w:rsidR="0087574E">
        <w:t xml:space="preserve"> this quarter</w:t>
      </w:r>
      <w:r w:rsidR="00DA152B">
        <w:t xml:space="preserve"> </w:t>
      </w:r>
      <w:r w:rsidR="002673C2">
        <w:t xml:space="preserve">with </w:t>
      </w:r>
      <w:r w:rsidR="00184931">
        <w:t>1</w:t>
      </w:r>
      <w:r w:rsidR="00F92D1D">
        <w:t xml:space="preserve"> compared to </w:t>
      </w:r>
      <w:r w:rsidR="00184931">
        <w:t>61</w:t>
      </w:r>
      <w:r w:rsidR="00BA152B">
        <w:t xml:space="preserve"> </w:t>
      </w:r>
      <w:r w:rsidR="00F47391">
        <w:t>in the previous</w:t>
      </w:r>
      <w:r w:rsidR="00F92D1D">
        <w:t xml:space="preserve"> quarter and</w:t>
      </w:r>
      <w:r w:rsidR="00184931">
        <w:t xml:space="preserve"> 2</w:t>
      </w:r>
      <w:r w:rsidR="00F92D1D">
        <w:t xml:space="preserve"> in the same period of last year.  </w:t>
      </w:r>
    </w:p>
    <w:p w:rsidR="00A82FB4" w:rsidRDefault="00A82FB4" w:rsidP="00D70818"/>
    <w:p w:rsidR="00D70818" w:rsidRPr="00610D47" w:rsidRDefault="00D70818" w:rsidP="00D70818">
      <w:pPr>
        <w:rPr>
          <w:b/>
        </w:rPr>
      </w:pPr>
      <w:r w:rsidRPr="00610D47">
        <w:rPr>
          <w:b/>
        </w:rPr>
        <w:t>Urinary Tract Infections</w:t>
      </w:r>
    </w:p>
    <w:p w:rsidR="008A4D31" w:rsidRDefault="00D70818" w:rsidP="00D70818">
      <w:r>
        <w:t>The number of re</w:t>
      </w:r>
      <w:r w:rsidR="00470322">
        <w:t>ported Urinary Tract Infections (</w:t>
      </w:r>
      <w:r w:rsidR="00184931">
        <w:t>8</w:t>
      </w:r>
      <w:r w:rsidR="00470322">
        <w:t xml:space="preserve">) </w:t>
      </w:r>
      <w:r w:rsidR="00BE43E5">
        <w:t>in</w:t>
      </w:r>
      <w:r w:rsidR="0075755D">
        <w:t>creased</w:t>
      </w:r>
      <w:r w:rsidR="00DA152B">
        <w:t xml:space="preserve"> from</w:t>
      </w:r>
      <w:r w:rsidR="008A4D31">
        <w:t xml:space="preserve"> the last quarter</w:t>
      </w:r>
      <w:r w:rsidR="00470322">
        <w:t xml:space="preserve"> (</w:t>
      </w:r>
      <w:r w:rsidR="00184931">
        <w:t>2</w:t>
      </w:r>
      <w:r w:rsidR="00470322">
        <w:t>) and the same period of last year (</w:t>
      </w:r>
      <w:r w:rsidR="00184931">
        <w:t>7</w:t>
      </w:r>
      <w:r w:rsidR="00470322">
        <w:t>)</w:t>
      </w:r>
      <w:r w:rsidR="00DA152B">
        <w:t>.</w:t>
      </w:r>
      <w:r w:rsidR="0019297B">
        <w:t xml:space="preserve"> </w:t>
      </w:r>
    </w:p>
    <w:p w:rsidR="00DA152B" w:rsidRDefault="00DA152B" w:rsidP="00D70818"/>
    <w:p w:rsidR="00D70818" w:rsidRDefault="00D70818" w:rsidP="00D70818">
      <w:pPr>
        <w:rPr>
          <w:b/>
        </w:rPr>
      </w:pPr>
      <w:r w:rsidRPr="00610D47">
        <w:rPr>
          <w:b/>
        </w:rPr>
        <w:t>Skin Infections</w:t>
      </w:r>
    </w:p>
    <w:p w:rsidR="00CE0113" w:rsidRDefault="00D70818" w:rsidP="00D70818">
      <w:r>
        <w:t xml:space="preserve">The number of skin infections have </w:t>
      </w:r>
      <w:r w:rsidR="00AB02B2">
        <w:t>decreased</w:t>
      </w:r>
      <w:r w:rsidR="0075755D">
        <w:t xml:space="preserve"> from </w:t>
      </w:r>
      <w:r w:rsidR="007A32CB">
        <w:t>the last quarter (</w:t>
      </w:r>
      <w:r w:rsidR="00530023">
        <w:t>2</w:t>
      </w:r>
      <w:r w:rsidR="00184931">
        <w:t>) and increased</w:t>
      </w:r>
      <w:r w:rsidR="008537FE">
        <w:t xml:space="preserve"> when compared to the</w:t>
      </w:r>
      <w:r w:rsidR="007A32CB">
        <w:t xml:space="preserve"> same period of last year (</w:t>
      </w:r>
      <w:r w:rsidR="00184931">
        <w:t>0</w:t>
      </w:r>
      <w:r w:rsidR="007A32CB">
        <w:t xml:space="preserve">).  </w:t>
      </w:r>
    </w:p>
    <w:p w:rsidR="00CE0113" w:rsidRDefault="00CE0113" w:rsidP="00D70818"/>
    <w:p w:rsidR="00470322" w:rsidRDefault="00CE0113" w:rsidP="00D70818">
      <w:r>
        <w:t>E</w:t>
      </w:r>
      <w:r w:rsidR="007A32CB">
        <w:t xml:space="preserve">ducation and review of wound care continues with a designated </w:t>
      </w:r>
      <w:r w:rsidR="008537FE">
        <w:t xml:space="preserve">skin integrity team in place. </w:t>
      </w:r>
      <w:r w:rsidR="00530023">
        <w:t>The team has implemented</w:t>
      </w:r>
      <w:r w:rsidR="00BA152B">
        <w:t xml:space="preserve"> the Point Click Care Skin &amp; Wound module to integrate documentation and assessment in the one health record and </w:t>
      </w:r>
      <w:r w:rsidR="00530023">
        <w:t xml:space="preserve">have </w:t>
      </w:r>
      <w:r w:rsidR="00BA152B">
        <w:t>eliminate</w:t>
      </w:r>
      <w:r w:rsidR="00530023">
        <w:t>d</w:t>
      </w:r>
      <w:r w:rsidR="00BA152B">
        <w:t xml:space="preserve"> the use of How2Trak. </w:t>
      </w:r>
    </w:p>
    <w:p w:rsidR="007A32CB" w:rsidRDefault="007A32CB" w:rsidP="00D70818"/>
    <w:p w:rsidR="00D70818" w:rsidRPr="00610D47" w:rsidRDefault="00D70818" w:rsidP="00D70818">
      <w:pPr>
        <w:rPr>
          <w:b/>
        </w:rPr>
      </w:pPr>
      <w:r w:rsidRPr="00610D47">
        <w:rPr>
          <w:b/>
        </w:rPr>
        <w:t>Gastrointestinal Infections</w:t>
      </w:r>
    </w:p>
    <w:p w:rsidR="00D70818" w:rsidRDefault="00DC2720" w:rsidP="00D70818">
      <w:r>
        <w:t>There were</w:t>
      </w:r>
      <w:r w:rsidR="00CE0113">
        <w:t xml:space="preserve"> 0</w:t>
      </w:r>
      <w:r w:rsidR="008537FE">
        <w:t xml:space="preserve"> gastrointestinal </w:t>
      </w:r>
      <w:r>
        <w:t>infections</w:t>
      </w:r>
      <w:r w:rsidR="00EB2216">
        <w:t>.</w:t>
      </w:r>
    </w:p>
    <w:p w:rsidR="00D70818" w:rsidRDefault="00D70818" w:rsidP="00D70818"/>
    <w:p w:rsidR="00D70818" w:rsidRDefault="00D70818" w:rsidP="00D70818">
      <w:pPr>
        <w:rPr>
          <w:b/>
        </w:rPr>
      </w:pPr>
      <w:r w:rsidRPr="002D112C">
        <w:rPr>
          <w:b/>
        </w:rPr>
        <w:t>Other Infections</w:t>
      </w:r>
      <w:r>
        <w:rPr>
          <w:b/>
        </w:rPr>
        <w:t xml:space="preserve"> (eye, genitourinary, ear, oral)</w:t>
      </w:r>
    </w:p>
    <w:p w:rsidR="00D70818" w:rsidRDefault="00530023" w:rsidP="00D70818">
      <w:r>
        <w:t>The other</w:t>
      </w:r>
      <w:r w:rsidR="000844CD">
        <w:t xml:space="preserve"> </w:t>
      </w:r>
      <w:r>
        <w:t>infection</w:t>
      </w:r>
      <w:r w:rsidR="00FD7FB7">
        <w:t>s were</w:t>
      </w:r>
      <w:r w:rsidR="00184931">
        <w:t xml:space="preserve"> oral, eye, and ear infections. </w:t>
      </w:r>
    </w:p>
    <w:p w:rsidR="00184931" w:rsidRDefault="00184931" w:rsidP="00D70818"/>
    <w:p w:rsidR="00D70818" w:rsidRDefault="00D70818" w:rsidP="00D70818"/>
    <w:p w:rsidR="00D70818" w:rsidRDefault="00D70818" w:rsidP="00D70818"/>
    <w:p w:rsidR="003A77BE" w:rsidRPr="00646673" w:rsidRDefault="003A77BE" w:rsidP="003A77BE">
      <w:pPr>
        <w:rPr>
          <w:rFonts w:ascii="Calibri" w:hAnsi="Calibri"/>
          <w:b/>
        </w:rPr>
      </w:pPr>
      <w:r w:rsidRPr="00027301">
        <w:rPr>
          <w:b/>
          <w:sz w:val="24"/>
        </w:rPr>
        <w:t>4.0</w:t>
      </w:r>
      <w:r>
        <w:rPr>
          <w:b/>
        </w:rPr>
        <w:tab/>
      </w:r>
      <w:r w:rsidRPr="00881F7F">
        <w:rPr>
          <w:b/>
          <w:sz w:val="24"/>
        </w:rPr>
        <w:t xml:space="preserve">Shoreham Village </w:t>
      </w:r>
      <w:r>
        <w:rPr>
          <w:b/>
          <w:sz w:val="24"/>
        </w:rPr>
        <w:t>–</w:t>
      </w:r>
      <w:r w:rsidRPr="00881F7F">
        <w:rPr>
          <w:b/>
          <w:sz w:val="24"/>
        </w:rPr>
        <w:t xml:space="preserve"> </w:t>
      </w:r>
      <w:r>
        <w:rPr>
          <w:b/>
          <w:sz w:val="24"/>
        </w:rPr>
        <w:t>Pressure Injury Summary</w:t>
      </w:r>
      <w:r w:rsidRPr="00881F7F">
        <w:rPr>
          <w:b/>
          <w:sz w:val="24"/>
        </w:rPr>
        <w:t xml:space="preserve"> – Q</w:t>
      </w:r>
      <w:r>
        <w:rPr>
          <w:b/>
          <w:sz w:val="24"/>
        </w:rPr>
        <w:t>1</w:t>
      </w:r>
      <w:r w:rsidRPr="00881F7F">
        <w:rPr>
          <w:b/>
          <w:sz w:val="24"/>
        </w:rPr>
        <w:t xml:space="preserve"> </w:t>
      </w:r>
      <w:r>
        <w:rPr>
          <w:b/>
          <w:sz w:val="24"/>
        </w:rPr>
        <w:t>April</w:t>
      </w:r>
      <w:r w:rsidRPr="00881F7F">
        <w:rPr>
          <w:b/>
          <w:sz w:val="24"/>
        </w:rPr>
        <w:t xml:space="preserve"> – </w:t>
      </w:r>
      <w:r>
        <w:rPr>
          <w:b/>
          <w:sz w:val="24"/>
        </w:rPr>
        <w:t>June 2022/23</w:t>
      </w:r>
    </w:p>
    <w:p w:rsidR="003A77BE" w:rsidRDefault="003A77BE" w:rsidP="003A77BE"/>
    <w:p w:rsidR="003A77BE" w:rsidRDefault="003A77BE" w:rsidP="003A77BE">
      <w:r>
        <w:t xml:space="preserve">The Provincial Wound Care Program, overseen by Health Association of NS (HANS) collects data monthly through a submission to the Department of Seniors &amp; Long Term Care (DSLTC). Shoreham data is submitted on the pressure injuries (PIs) in the facility on a given date, the last day of the month. This data captures pressure injuries and does not include other wounds ie skin tears, diabetic wounds. </w:t>
      </w:r>
    </w:p>
    <w:p w:rsidR="003A77BE" w:rsidRDefault="003A77BE" w:rsidP="003A77BE"/>
    <w:p w:rsidR="003A77BE" w:rsidRDefault="003A77BE" w:rsidP="003A77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0"/>
        <w:gridCol w:w="2450"/>
        <w:gridCol w:w="2450"/>
        <w:gridCol w:w="2450"/>
      </w:tblGrid>
      <w:tr w:rsidR="003A77BE" w:rsidTr="009C2EA7">
        <w:tc>
          <w:tcPr>
            <w:tcW w:w="2450" w:type="dxa"/>
          </w:tcPr>
          <w:p w:rsidR="003A77BE" w:rsidRDefault="003A77BE" w:rsidP="009C2EA7"/>
        </w:tc>
        <w:tc>
          <w:tcPr>
            <w:tcW w:w="2450" w:type="dxa"/>
            <w:shd w:val="clear" w:color="auto" w:fill="D9D9D9" w:themeFill="background1" w:themeFillShade="D9"/>
          </w:tcPr>
          <w:p w:rsidR="003A77BE" w:rsidRDefault="003A77BE" w:rsidP="009C2EA7">
            <w:pPr>
              <w:jc w:val="center"/>
            </w:pPr>
            <w:r>
              <w:t>April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3A77BE" w:rsidRDefault="003A77BE" w:rsidP="009C2EA7">
            <w:pPr>
              <w:jc w:val="center"/>
            </w:pPr>
            <w:r>
              <w:t>May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3A77BE" w:rsidRDefault="003A77BE" w:rsidP="009C2EA7">
            <w:pPr>
              <w:jc w:val="center"/>
            </w:pPr>
            <w:r>
              <w:t>June</w:t>
            </w:r>
          </w:p>
        </w:tc>
      </w:tr>
      <w:tr w:rsidR="003A77BE" w:rsidTr="009C2EA7">
        <w:tc>
          <w:tcPr>
            <w:tcW w:w="2450" w:type="dxa"/>
            <w:shd w:val="clear" w:color="auto" w:fill="D9D9D9" w:themeFill="background1" w:themeFillShade="D9"/>
          </w:tcPr>
          <w:p w:rsidR="003A77BE" w:rsidRDefault="003A77BE" w:rsidP="009C2EA7">
            <w:r>
              <w:t># of Residents with PIs</w:t>
            </w:r>
          </w:p>
        </w:tc>
        <w:tc>
          <w:tcPr>
            <w:tcW w:w="2450" w:type="dxa"/>
          </w:tcPr>
          <w:p w:rsidR="003A77BE" w:rsidRDefault="00547778" w:rsidP="009C2EA7">
            <w:r>
              <w:t>2</w:t>
            </w:r>
          </w:p>
        </w:tc>
        <w:tc>
          <w:tcPr>
            <w:tcW w:w="2450" w:type="dxa"/>
          </w:tcPr>
          <w:p w:rsidR="003A77BE" w:rsidRDefault="00547778" w:rsidP="009C2EA7">
            <w:r>
              <w:t>2</w:t>
            </w:r>
          </w:p>
        </w:tc>
        <w:tc>
          <w:tcPr>
            <w:tcW w:w="2450" w:type="dxa"/>
          </w:tcPr>
          <w:p w:rsidR="003A77BE" w:rsidRDefault="00547778" w:rsidP="009C2EA7">
            <w:r>
              <w:t>2</w:t>
            </w:r>
          </w:p>
        </w:tc>
      </w:tr>
      <w:tr w:rsidR="003A77BE" w:rsidTr="009C2EA7">
        <w:tc>
          <w:tcPr>
            <w:tcW w:w="2450" w:type="dxa"/>
            <w:shd w:val="clear" w:color="auto" w:fill="D9D9D9" w:themeFill="background1" w:themeFillShade="D9"/>
          </w:tcPr>
          <w:p w:rsidR="003A77BE" w:rsidRDefault="003A77BE" w:rsidP="009C2EA7">
            <w:r>
              <w:t># of Stage 2 PIs</w:t>
            </w:r>
          </w:p>
        </w:tc>
        <w:tc>
          <w:tcPr>
            <w:tcW w:w="2450" w:type="dxa"/>
          </w:tcPr>
          <w:p w:rsidR="003A77BE" w:rsidRDefault="00547778" w:rsidP="009C2EA7">
            <w:r>
              <w:t>1</w:t>
            </w:r>
          </w:p>
        </w:tc>
        <w:tc>
          <w:tcPr>
            <w:tcW w:w="2450" w:type="dxa"/>
          </w:tcPr>
          <w:p w:rsidR="003A77BE" w:rsidRDefault="00547778" w:rsidP="009C2EA7">
            <w:r>
              <w:t>1</w:t>
            </w:r>
          </w:p>
        </w:tc>
        <w:tc>
          <w:tcPr>
            <w:tcW w:w="2450" w:type="dxa"/>
          </w:tcPr>
          <w:p w:rsidR="003A77BE" w:rsidRDefault="00547778" w:rsidP="009C2EA7">
            <w:r>
              <w:t>1</w:t>
            </w:r>
          </w:p>
        </w:tc>
      </w:tr>
      <w:tr w:rsidR="003A77BE" w:rsidTr="009C2EA7">
        <w:tc>
          <w:tcPr>
            <w:tcW w:w="2450" w:type="dxa"/>
            <w:shd w:val="clear" w:color="auto" w:fill="D9D9D9" w:themeFill="background1" w:themeFillShade="D9"/>
          </w:tcPr>
          <w:p w:rsidR="003A77BE" w:rsidRDefault="003A77BE" w:rsidP="009C2EA7">
            <w:r>
              <w:t># of Stage 3 PIs</w:t>
            </w:r>
          </w:p>
        </w:tc>
        <w:tc>
          <w:tcPr>
            <w:tcW w:w="2450" w:type="dxa"/>
          </w:tcPr>
          <w:p w:rsidR="003A77BE" w:rsidRDefault="003A77BE" w:rsidP="009C2EA7">
            <w:r>
              <w:t>0</w:t>
            </w:r>
          </w:p>
        </w:tc>
        <w:tc>
          <w:tcPr>
            <w:tcW w:w="2450" w:type="dxa"/>
          </w:tcPr>
          <w:p w:rsidR="003A77BE" w:rsidRDefault="003A77BE" w:rsidP="009C2EA7">
            <w:r>
              <w:t>0</w:t>
            </w:r>
          </w:p>
        </w:tc>
        <w:tc>
          <w:tcPr>
            <w:tcW w:w="2450" w:type="dxa"/>
          </w:tcPr>
          <w:p w:rsidR="003A77BE" w:rsidRDefault="003A77BE" w:rsidP="009C2EA7"/>
        </w:tc>
      </w:tr>
      <w:tr w:rsidR="003A77BE" w:rsidTr="009C2EA7">
        <w:tc>
          <w:tcPr>
            <w:tcW w:w="2450" w:type="dxa"/>
            <w:shd w:val="clear" w:color="auto" w:fill="D9D9D9" w:themeFill="background1" w:themeFillShade="D9"/>
          </w:tcPr>
          <w:p w:rsidR="003A77BE" w:rsidRDefault="003A77BE" w:rsidP="009C2EA7">
            <w:r>
              <w:t># of Stage 4 PIs</w:t>
            </w:r>
          </w:p>
        </w:tc>
        <w:tc>
          <w:tcPr>
            <w:tcW w:w="2450" w:type="dxa"/>
          </w:tcPr>
          <w:p w:rsidR="003A77BE" w:rsidRDefault="00547778" w:rsidP="009C2EA7">
            <w:r>
              <w:t>1</w:t>
            </w:r>
          </w:p>
        </w:tc>
        <w:tc>
          <w:tcPr>
            <w:tcW w:w="2450" w:type="dxa"/>
          </w:tcPr>
          <w:p w:rsidR="003A77BE" w:rsidRDefault="00547778" w:rsidP="009C2EA7">
            <w:r>
              <w:t>1</w:t>
            </w:r>
          </w:p>
        </w:tc>
        <w:tc>
          <w:tcPr>
            <w:tcW w:w="2450" w:type="dxa"/>
          </w:tcPr>
          <w:p w:rsidR="003A77BE" w:rsidRDefault="00547778" w:rsidP="009C2EA7">
            <w:r>
              <w:t>1</w:t>
            </w:r>
          </w:p>
        </w:tc>
      </w:tr>
      <w:tr w:rsidR="003A77BE" w:rsidTr="009C2EA7">
        <w:tc>
          <w:tcPr>
            <w:tcW w:w="2450" w:type="dxa"/>
            <w:shd w:val="clear" w:color="auto" w:fill="D9D9D9" w:themeFill="background1" w:themeFillShade="D9"/>
          </w:tcPr>
          <w:p w:rsidR="003A77BE" w:rsidRDefault="003A77BE" w:rsidP="009C2EA7">
            <w:r>
              <w:t># of Unstageable PIs</w:t>
            </w:r>
          </w:p>
        </w:tc>
        <w:tc>
          <w:tcPr>
            <w:tcW w:w="2450" w:type="dxa"/>
          </w:tcPr>
          <w:p w:rsidR="003A77BE" w:rsidRDefault="003A77BE" w:rsidP="009C2EA7"/>
        </w:tc>
        <w:tc>
          <w:tcPr>
            <w:tcW w:w="2450" w:type="dxa"/>
          </w:tcPr>
          <w:p w:rsidR="003A77BE" w:rsidRDefault="003A77BE" w:rsidP="009C2EA7"/>
        </w:tc>
        <w:tc>
          <w:tcPr>
            <w:tcW w:w="2450" w:type="dxa"/>
          </w:tcPr>
          <w:p w:rsidR="003A77BE" w:rsidRDefault="003A77BE" w:rsidP="009C2EA7"/>
        </w:tc>
      </w:tr>
      <w:tr w:rsidR="003A77BE" w:rsidTr="009C2EA7">
        <w:tc>
          <w:tcPr>
            <w:tcW w:w="2450" w:type="dxa"/>
            <w:shd w:val="clear" w:color="auto" w:fill="D9D9D9" w:themeFill="background1" w:themeFillShade="D9"/>
          </w:tcPr>
          <w:p w:rsidR="003A77BE" w:rsidRDefault="003A77BE" w:rsidP="009C2EA7">
            <w:r>
              <w:t># of Facility Acquired</w:t>
            </w:r>
          </w:p>
        </w:tc>
        <w:tc>
          <w:tcPr>
            <w:tcW w:w="2450" w:type="dxa"/>
          </w:tcPr>
          <w:p w:rsidR="003A77BE" w:rsidRDefault="003A77BE" w:rsidP="009C2EA7">
            <w:r>
              <w:t>0</w:t>
            </w:r>
          </w:p>
        </w:tc>
        <w:tc>
          <w:tcPr>
            <w:tcW w:w="2450" w:type="dxa"/>
          </w:tcPr>
          <w:p w:rsidR="003A77BE" w:rsidRDefault="003A77BE" w:rsidP="009C2EA7">
            <w:r>
              <w:t>0</w:t>
            </w:r>
          </w:p>
        </w:tc>
        <w:tc>
          <w:tcPr>
            <w:tcW w:w="2450" w:type="dxa"/>
          </w:tcPr>
          <w:p w:rsidR="003A77BE" w:rsidRDefault="003A77BE" w:rsidP="009C2EA7"/>
        </w:tc>
      </w:tr>
      <w:tr w:rsidR="003A77BE" w:rsidTr="009C2EA7">
        <w:tc>
          <w:tcPr>
            <w:tcW w:w="2450" w:type="dxa"/>
            <w:shd w:val="clear" w:color="auto" w:fill="D9D9D9" w:themeFill="background1" w:themeFillShade="D9"/>
          </w:tcPr>
          <w:p w:rsidR="003A77BE" w:rsidRPr="004C3201" w:rsidRDefault="003A77BE" w:rsidP="009C2EA7">
            <w:pPr>
              <w:rPr>
                <w:b/>
              </w:rPr>
            </w:pPr>
            <w:r w:rsidRPr="004C3201">
              <w:rPr>
                <w:b/>
              </w:rPr>
              <w:t>TOTAL PIs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3A77BE" w:rsidRPr="004C3201" w:rsidRDefault="00547778" w:rsidP="009C2EA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3A77BE" w:rsidRPr="004C3201" w:rsidRDefault="00547778" w:rsidP="009C2EA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3A77BE" w:rsidRPr="004C3201" w:rsidRDefault="00547778" w:rsidP="009C2EA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3A77BE" w:rsidRDefault="003A77BE" w:rsidP="003A77BE"/>
    <w:p w:rsidR="003A77BE" w:rsidRDefault="003A77BE" w:rsidP="00D70818">
      <w:pPr>
        <w:rPr>
          <w:b/>
          <w:sz w:val="24"/>
        </w:rPr>
      </w:pPr>
    </w:p>
    <w:p w:rsidR="003A77BE" w:rsidRDefault="00547778" w:rsidP="00D70818">
      <w:pPr>
        <w:rPr>
          <w:b/>
          <w:sz w:val="24"/>
        </w:rPr>
      </w:pPr>
      <w:r>
        <w:rPr>
          <w:b/>
          <w:sz w:val="24"/>
        </w:rPr>
        <w:t xml:space="preserve">These are chronic wounds which the team continues to provide skilled care and interventions for. The wound care team has regular monthly meetings or more frequent if required. </w:t>
      </w:r>
    </w:p>
    <w:p w:rsidR="00547778" w:rsidRDefault="00547778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3A77BE" w:rsidRDefault="003A77BE" w:rsidP="00D70818">
      <w:pPr>
        <w:rPr>
          <w:b/>
          <w:sz w:val="24"/>
        </w:rPr>
      </w:pPr>
    </w:p>
    <w:p w:rsidR="00D70818" w:rsidRPr="00646673" w:rsidRDefault="003A77BE" w:rsidP="00D70818">
      <w:pPr>
        <w:rPr>
          <w:rFonts w:ascii="Calibri" w:hAnsi="Calibri"/>
          <w:b/>
        </w:rPr>
      </w:pPr>
      <w:r>
        <w:rPr>
          <w:b/>
          <w:sz w:val="24"/>
        </w:rPr>
        <w:t>5</w:t>
      </w:r>
      <w:r w:rsidR="00D70818" w:rsidRPr="00027301">
        <w:rPr>
          <w:b/>
          <w:sz w:val="24"/>
        </w:rPr>
        <w:t>.0</w:t>
      </w:r>
      <w:r w:rsidR="00D70818">
        <w:rPr>
          <w:b/>
        </w:rPr>
        <w:tab/>
      </w:r>
      <w:r w:rsidR="00D70818" w:rsidRPr="00881F7F">
        <w:rPr>
          <w:b/>
          <w:sz w:val="24"/>
        </w:rPr>
        <w:t xml:space="preserve">Shoreham Village </w:t>
      </w:r>
      <w:r w:rsidR="000D12E5" w:rsidRPr="00881F7F">
        <w:rPr>
          <w:b/>
          <w:sz w:val="24"/>
        </w:rPr>
        <w:t xml:space="preserve">- </w:t>
      </w:r>
      <w:r w:rsidR="00D70818" w:rsidRPr="00881F7F">
        <w:rPr>
          <w:b/>
          <w:sz w:val="24"/>
        </w:rPr>
        <w:t>Hand Hygiene Report – Q</w:t>
      </w:r>
      <w:r w:rsidR="00EC23B2">
        <w:rPr>
          <w:b/>
          <w:sz w:val="24"/>
        </w:rPr>
        <w:t>1 April</w:t>
      </w:r>
      <w:r w:rsidR="00316133" w:rsidRPr="00881F7F">
        <w:rPr>
          <w:b/>
          <w:sz w:val="24"/>
        </w:rPr>
        <w:t xml:space="preserve"> </w:t>
      </w:r>
      <w:r w:rsidR="00D70818" w:rsidRPr="00881F7F">
        <w:rPr>
          <w:b/>
          <w:sz w:val="24"/>
        </w:rPr>
        <w:t xml:space="preserve">– </w:t>
      </w:r>
      <w:r w:rsidR="00EC23B2">
        <w:rPr>
          <w:b/>
          <w:sz w:val="24"/>
        </w:rPr>
        <w:t>June 2021</w:t>
      </w:r>
      <w:r w:rsidR="00F831C7">
        <w:rPr>
          <w:b/>
          <w:sz w:val="24"/>
        </w:rPr>
        <w:t>/2</w:t>
      </w:r>
      <w:r w:rsidR="00EC23B2">
        <w:rPr>
          <w:b/>
          <w:sz w:val="24"/>
        </w:rPr>
        <w:t>2</w:t>
      </w:r>
    </w:p>
    <w:p w:rsidR="00D70818" w:rsidRDefault="00D70818" w:rsidP="00D70818">
      <w:pPr>
        <w:rPr>
          <w:rFonts w:ascii="Calibri" w:hAnsi="Calibri"/>
          <w:b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2880"/>
        <w:gridCol w:w="1417"/>
        <w:gridCol w:w="1620"/>
        <w:gridCol w:w="1620"/>
        <w:gridCol w:w="1710"/>
      </w:tblGrid>
      <w:tr w:rsidR="00D70818" w:rsidTr="002A3CF7">
        <w:tc>
          <w:tcPr>
            <w:tcW w:w="2880" w:type="dxa"/>
          </w:tcPr>
          <w:p w:rsidR="00D70818" w:rsidRPr="00D12732" w:rsidRDefault="00D70818" w:rsidP="002A3CF7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Results</w:t>
            </w:r>
          </w:p>
        </w:tc>
        <w:tc>
          <w:tcPr>
            <w:tcW w:w="1417" w:type="dxa"/>
          </w:tcPr>
          <w:p w:rsidR="00D70818" w:rsidRPr="00C92968" w:rsidRDefault="00D70818" w:rsidP="002A3CF7">
            <w:pPr>
              <w:jc w:val="center"/>
              <w:rPr>
                <w:rFonts w:ascii="Calibri" w:hAnsi="Calibri"/>
                <w:b/>
              </w:rPr>
            </w:pPr>
            <w:r w:rsidRPr="00C92968">
              <w:rPr>
                <w:rFonts w:ascii="Calibri" w:hAnsi="Calibri"/>
                <w:b/>
              </w:rPr>
              <w:t>Q1</w:t>
            </w:r>
          </w:p>
        </w:tc>
        <w:tc>
          <w:tcPr>
            <w:tcW w:w="1620" w:type="dxa"/>
          </w:tcPr>
          <w:p w:rsidR="00D70818" w:rsidRPr="00C92968" w:rsidRDefault="00D70818" w:rsidP="002A3CF7">
            <w:pPr>
              <w:jc w:val="center"/>
              <w:rPr>
                <w:rFonts w:ascii="Calibri" w:hAnsi="Calibri"/>
                <w:b/>
              </w:rPr>
            </w:pPr>
            <w:r w:rsidRPr="00C92968">
              <w:rPr>
                <w:rFonts w:ascii="Calibri" w:hAnsi="Calibri"/>
                <w:b/>
              </w:rPr>
              <w:t>Q2</w:t>
            </w:r>
          </w:p>
        </w:tc>
        <w:tc>
          <w:tcPr>
            <w:tcW w:w="1620" w:type="dxa"/>
          </w:tcPr>
          <w:p w:rsidR="00D70818" w:rsidRPr="00C92968" w:rsidRDefault="00D70818" w:rsidP="002A3C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Q3</w:t>
            </w:r>
          </w:p>
        </w:tc>
        <w:tc>
          <w:tcPr>
            <w:tcW w:w="1710" w:type="dxa"/>
          </w:tcPr>
          <w:p w:rsidR="00D70818" w:rsidRDefault="00D70818" w:rsidP="002A3C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Q4</w:t>
            </w:r>
          </w:p>
        </w:tc>
      </w:tr>
      <w:tr w:rsidR="002A3CF7" w:rsidTr="002A3CF7">
        <w:tc>
          <w:tcPr>
            <w:tcW w:w="2880" w:type="dxa"/>
          </w:tcPr>
          <w:p w:rsidR="002A3CF7" w:rsidRDefault="002A3CF7" w:rsidP="002A3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of Staff  Audited</w:t>
            </w:r>
          </w:p>
        </w:tc>
        <w:tc>
          <w:tcPr>
            <w:tcW w:w="1417" w:type="dxa"/>
          </w:tcPr>
          <w:p w:rsidR="002A3CF7" w:rsidRDefault="008B4E2C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264</w:t>
            </w:r>
          </w:p>
        </w:tc>
        <w:tc>
          <w:tcPr>
            <w:tcW w:w="1620" w:type="dxa"/>
          </w:tcPr>
          <w:p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</w:tr>
      <w:tr w:rsidR="002A3CF7" w:rsidTr="002A3CF7">
        <w:tc>
          <w:tcPr>
            <w:tcW w:w="2880" w:type="dxa"/>
          </w:tcPr>
          <w:p w:rsidR="002A3CF7" w:rsidRDefault="002A3CF7" w:rsidP="002A3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of  Opportunities Observed</w:t>
            </w:r>
          </w:p>
        </w:tc>
        <w:tc>
          <w:tcPr>
            <w:tcW w:w="1417" w:type="dxa"/>
          </w:tcPr>
          <w:p w:rsidR="002A3CF7" w:rsidRDefault="008B4E2C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1296</w:t>
            </w:r>
          </w:p>
        </w:tc>
        <w:tc>
          <w:tcPr>
            <w:tcW w:w="1620" w:type="dxa"/>
          </w:tcPr>
          <w:p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</w:tr>
      <w:tr w:rsidR="002A3CF7" w:rsidTr="002A3CF7">
        <w:tc>
          <w:tcPr>
            <w:tcW w:w="2880" w:type="dxa"/>
          </w:tcPr>
          <w:p w:rsidR="002A3CF7" w:rsidRDefault="002A3CF7" w:rsidP="002A3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# of Opportunities Met </w:t>
            </w:r>
          </w:p>
        </w:tc>
        <w:tc>
          <w:tcPr>
            <w:tcW w:w="1417" w:type="dxa"/>
          </w:tcPr>
          <w:p w:rsidR="002A3CF7" w:rsidRDefault="008B4E2C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1235 (95.3%)</w:t>
            </w:r>
          </w:p>
        </w:tc>
        <w:tc>
          <w:tcPr>
            <w:tcW w:w="1620" w:type="dxa"/>
          </w:tcPr>
          <w:p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</w:tr>
      <w:tr w:rsidR="002A3CF7" w:rsidTr="002A3CF7">
        <w:tc>
          <w:tcPr>
            <w:tcW w:w="2880" w:type="dxa"/>
          </w:tcPr>
          <w:p w:rsidR="002A3CF7" w:rsidRDefault="002A3CF7" w:rsidP="002A3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of Opportunities Missed</w:t>
            </w:r>
          </w:p>
        </w:tc>
        <w:tc>
          <w:tcPr>
            <w:tcW w:w="1417" w:type="dxa"/>
          </w:tcPr>
          <w:p w:rsidR="002A3CF7" w:rsidRDefault="008B4E2C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 (4.7%)</w:t>
            </w:r>
          </w:p>
        </w:tc>
        <w:tc>
          <w:tcPr>
            <w:tcW w:w="1620" w:type="dxa"/>
          </w:tcPr>
          <w:p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</w:tr>
    </w:tbl>
    <w:p w:rsidR="00D70818" w:rsidRDefault="00D70818" w:rsidP="00D70818">
      <w:pPr>
        <w:jc w:val="both"/>
        <w:rPr>
          <w:rFonts w:ascii="Calibri" w:hAnsi="Calibri"/>
          <w:sz w:val="20"/>
          <w:szCs w:val="20"/>
        </w:rPr>
      </w:pPr>
    </w:p>
    <w:p w:rsidR="002F35D7" w:rsidRDefault="001E3A78" w:rsidP="00D70818">
      <w:pPr>
        <w:jc w:val="both"/>
        <w:rPr>
          <w:rFonts w:ascii="Calibri" w:hAnsi="Calibri"/>
          <w:sz w:val="20"/>
          <w:szCs w:val="20"/>
        </w:rPr>
      </w:pPr>
      <w:r w:rsidRPr="001E3A78">
        <w:rPr>
          <w:rFonts w:ascii="Calibri" w:hAnsi="Calibri"/>
          <w:noProof/>
          <w:sz w:val="20"/>
          <w:szCs w:val="20"/>
          <w:lang w:val="en-CA" w:eastAsia="en-CA"/>
        </w:rPr>
        <w:drawing>
          <wp:inline distT="0" distB="0" distL="0" distR="0">
            <wp:extent cx="6099810" cy="3135085"/>
            <wp:effectExtent l="0" t="0" r="15240" b="8255"/>
            <wp:docPr id="1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F35D7" w:rsidRPr="00C92968" w:rsidRDefault="002F35D7" w:rsidP="00D70818">
      <w:pPr>
        <w:jc w:val="both"/>
        <w:rPr>
          <w:rFonts w:ascii="Calibri" w:hAnsi="Calibri"/>
          <w:sz w:val="20"/>
          <w:szCs w:val="20"/>
        </w:rPr>
      </w:pPr>
    </w:p>
    <w:p w:rsidR="00D70818" w:rsidRPr="0062323A" w:rsidRDefault="005B5C4A" w:rsidP="00D70818">
      <w:pPr>
        <w:rPr>
          <w:rFonts w:ascii="Calibri" w:hAnsi="Calibri"/>
          <w:b/>
          <w:noProof/>
          <w:szCs w:val="22"/>
        </w:rPr>
      </w:pPr>
      <w:r>
        <w:rPr>
          <w:rFonts w:ascii="Calibri" w:hAnsi="Calibri"/>
          <w:b/>
          <w:noProof/>
          <w:szCs w:val="22"/>
        </w:rPr>
        <w:t>C</w:t>
      </w:r>
      <w:r w:rsidR="00D70818" w:rsidRPr="0062323A">
        <w:rPr>
          <w:rFonts w:ascii="Calibri" w:hAnsi="Calibri"/>
          <w:b/>
          <w:noProof/>
          <w:szCs w:val="22"/>
        </w:rPr>
        <w:t>omments:</w:t>
      </w:r>
    </w:p>
    <w:p w:rsidR="00D70818" w:rsidRDefault="00D70818" w:rsidP="00D70818">
      <w:pPr>
        <w:jc w:val="center"/>
        <w:rPr>
          <w:rFonts w:ascii="Calibri" w:hAnsi="Calibri"/>
          <w:noProof/>
          <w:szCs w:val="22"/>
        </w:rPr>
      </w:pPr>
    </w:p>
    <w:p w:rsidR="008D3D7A" w:rsidRDefault="00FE240A" w:rsidP="008D3D7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Compliance</w:t>
      </w:r>
      <w:r w:rsidR="00530023">
        <w:rPr>
          <w:rFonts w:ascii="Calibri" w:hAnsi="Calibri"/>
          <w:szCs w:val="22"/>
        </w:rPr>
        <w:t xml:space="preserve"> </w:t>
      </w:r>
      <w:r w:rsidR="008B4E2C">
        <w:rPr>
          <w:rFonts w:ascii="Calibri" w:hAnsi="Calibri"/>
          <w:szCs w:val="22"/>
        </w:rPr>
        <w:t>decreased</w:t>
      </w:r>
      <w:r w:rsidR="005855D8">
        <w:rPr>
          <w:rFonts w:ascii="Calibri" w:hAnsi="Calibri"/>
          <w:szCs w:val="22"/>
        </w:rPr>
        <w:t xml:space="preserve"> for</w:t>
      </w:r>
      <w:r>
        <w:rPr>
          <w:rFonts w:ascii="Calibri" w:hAnsi="Calibri"/>
          <w:szCs w:val="22"/>
        </w:rPr>
        <w:t xml:space="preserve"> opportu</w:t>
      </w:r>
      <w:r w:rsidR="003141E3">
        <w:rPr>
          <w:rFonts w:ascii="Calibri" w:hAnsi="Calibri"/>
          <w:szCs w:val="22"/>
        </w:rPr>
        <w:t>nities met from las</w:t>
      </w:r>
      <w:r w:rsidR="008B4E2C">
        <w:rPr>
          <w:rFonts w:ascii="Calibri" w:hAnsi="Calibri"/>
          <w:szCs w:val="22"/>
        </w:rPr>
        <w:t>t quarter (97</w:t>
      </w:r>
      <w:r w:rsidR="00332CE6">
        <w:rPr>
          <w:rFonts w:ascii="Calibri" w:hAnsi="Calibri"/>
          <w:szCs w:val="22"/>
        </w:rPr>
        <w:t>%)</w:t>
      </w:r>
      <w:r w:rsidR="008B4E2C">
        <w:rPr>
          <w:rFonts w:ascii="Calibri" w:hAnsi="Calibri"/>
          <w:szCs w:val="22"/>
        </w:rPr>
        <w:t xml:space="preserve">. </w:t>
      </w:r>
      <w:r w:rsidR="00B32F12">
        <w:rPr>
          <w:rFonts w:ascii="Calibri" w:hAnsi="Calibri"/>
          <w:szCs w:val="22"/>
        </w:rPr>
        <w:t xml:space="preserve">Opportunities met </w:t>
      </w:r>
      <w:r w:rsidR="008B4E2C">
        <w:rPr>
          <w:rFonts w:ascii="Calibri" w:hAnsi="Calibri"/>
          <w:szCs w:val="22"/>
        </w:rPr>
        <w:t>increased</w:t>
      </w:r>
      <w:r w:rsidR="00B32F12">
        <w:rPr>
          <w:rFonts w:ascii="Calibri" w:hAnsi="Calibri"/>
          <w:szCs w:val="22"/>
        </w:rPr>
        <w:t xml:space="preserve"> when co</w:t>
      </w:r>
      <w:r w:rsidR="008B4E2C">
        <w:rPr>
          <w:rFonts w:ascii="Calibri" w:hAnsi="Calibri"/>
          <w:szCs w:val="22"/>
        </w:rPr>
        <w:t>mpared to the same quarter of 21/22 (94.7</w:t>
      </w:r>
      <w:r w:rsidR="00B32F12">
        <w:rPr>
          <w:rFonts w:ascii="Calibri" w:hAnsi="Calibri"/>
          <w:szCs w:val="22"/>
        </w:rPr>
        <w:t xml:space="preserve">%). </w:t>
      </w:r>
      <w:r w:rsidR="003141E3">
        <w:rPr>
          <w:rFonts w:ascii="Calibri" w:hAnsi="Calibri"/>
          <w:szCs w:val="22"/>
        </w:rPr>
        <w:t xml:space="preserve">There is </w:t>
      </w:r>
      <w:r w:rsidR="0079226C">
        <w:rPr>
          <w:rFonts w:ascii="Calibri" w:hAnsi="Calibri"/>
          <w:szCs w:val="22"/>
        </w:rPr>
        <w:t xml:space="preserve">a </w:t>
      </w:r>
      <w:r w:rsidR="003141E3">
        <w:rPr>
          <w:rFonts w:ascii="Calibri" w:hAnsi="Calibri"/>
          <w:szCs w:val="22"/>
        </w:rPr>
        <w:t xml:space="preserve">mandatory education </w:t>
      </w:r>
      <w:r w:rsidR="008D3D7A">
        <w:rPr>
          <w:rFonts w:ascii="Calibri" w:hAnsi="Calibri"/>
          <w:szCs w:val="22"/>
        </w:rPr>
        <w:t>module for all staff to complete annually. Areas scoring under 80% are identified for improvement.</w:t>
      </w:r>
      <w:r w:rsidR="008B4E2C">
        <w:rPr>
          <w:rFonts w:ascii="Calibri" w:hAnsi="Calibri"/>
          <w:szCs w:val="22"/>
        </w:rPr>
        <w:t xml:space="preserve"> </w:t>
      </w:r>
      <w:r w:rsidR="00B32F12">
        <w:rPr>
          <w:rFonts w:ascii="Calibri" w:hAnsi="Calibri"/>
          <w:szCs w:val="22"/>
        </w:rPr>
        <w:t xml:space="preserve"> </w:t>
      </w:r>
    </w:p>
    <w:p w:rsidR="008D3D7A" w:rsidRDefault="008D3D7A" w:rsidP="008D3D7A">
      <w:pPr>
        <w:jc w:val="both"/>
        <w:rPr>
          <w:rFonts w:ascii="Calibri" w:hAnsi="Calibri"/>
          <w:szCs w:val="22"/>
        </w:rPr>
      </w:pPr>
    </w:p>
    <w:p w:rsidR="008D3D7A" w:rsidRDefault="008D3D7A" w:rsidP="008D3D7A">
      <w:pPr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Areas for improvement include:</w:t>
      </w:r>
    </w:p>
    <w:p w:rsidR="00B32F12" w:rsidRPr="00DA684D" w:rsidRDefault="00B32F12" w:rsidP="008D3D7A">
      <w:pPr>
        <w:jc w:val="both"/>
        <w:rPr>
          <w:rFonts w:ascii="Calibri" w:hAnsi="Calibri"/>
          <w:b/>
          <w:szCs w:val="22"/>
        </w:rPr>
      </w:pPr>
    </w:p>
    <w:p w:rsidR="008B4E2C" w:rsidRPr="008B4E2C" w:rsidRDefault="008B4E2C" w:rsidP="008B4E2C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Areas for improvement h</w:t>
      </w:r>
      <w:r w:rsidRPr="008B4E2C">
        <w:rPr>
          <w:color w:val="000000"/>
          <w:szCs w:val="22"/>
        </w:rPr>
        <w:t xml:space="preserve">andling of clean linen, around care pre and post but gloves intact, and a few </w:t>
      </w:r>
      <w:r>
        <w:rPr>
          <w:color w:val="000000"/>
          <w:szCs w:val="22"/>
        </w:rPr>
        <w:t>related to</w:t>
      </w:r>
      <w:r w:rsidRPr="008B4E2C">
        <w:rPr>
          <w:color w:val="000000"/>
          <w:szCs w:val="22"/>
        </w:rPr>
        <w:t xml:space="preserve"> food prep and feeding of residents.</w:t>
      </w:r>
    </w:p>
    <w:p w:rsidR="008B4E2C" w:rsidRDefault="008B4E2C" w:rsidP="008D3D7A">
      <w:pPr>
        <w:jc w:val="both"/>
        <w:rPr>
          <w:color w:val="000000"/>
          <w:szCs w:val="22"/>
        </w:rPr>
      </w:pPr>
    </w:p>
    <w:p w:rsidR="008D3D7A" w:rsidRPr="008D3D7A" w:rsidRDefault="008B4E2C" w:rsidP="008D3D7A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Follow up has been </w:t>
      </w:r>
      <w:r w:rsidR="008D3D7A">
        <w:rPr>
          <w:color w:val="000000"/>
          <w:szCs w:val="22"/>
        </w:rPr>
        <w:t>be completed by the departmental manager and manager responsible for infection control.</w:t>
      </w:r>
      <w:r>
        <w:rPr>
          <w:color w:val="000000"/>
          <w:szCs w:val="22"/>
        </w:rPr>
        <w:t xml:space="preserve"> Additional reminder communication has been sent to all staff. </w:t>
      </w:r>
    </w:p>
    <w:p w:rsidR="008D3D7A" w:rsidRDefault="008D3D7A" w:rsidP="008D3D7A">
      <w:pPr>
        <w:jc w:val="both"/>
        <w:rPr>
          <w:color w:val="000000"/>
          <w:szCs w:val="22"/>
        </w:rPr>
      </w:pPr>
    </w:p>
    <w:p w:rsidR="00F47391" w:rsidRDefault="00F47391" w:rsidP="008D3D7A">
      <w:pPr>
        <w:jc w:val="both"/>
        <w:rPr>
          <w:color w:val="000000"/>
          <w:szCs w:val="22"/>
        </w:rPr>
      </w:pPr>
    </w:p>
    <w:p w:rsidR="00CE6104" w:rsidRPr="00CE6104" w:rsidRDefault="00CE6104" w:rsidP="00CE6104">
      <w:pPr>
        <w:jc w:val="both"/>
        <w:rPr>
          <w:b/>
          <w:color w:val="000000"/>
          <w:szCs w:val="22"/>
        </w:rPr>
      </w:pPr>
      <w:r w:rsidRPr="00CE6104">
        <w:rPr>
          <w:b/>
          <w:color w:val="000000"/>
          <w:szCs w:val="22"/>
        </w:rPr>
        <w:t>Other Infection control audits were completed which included mask and PPE wearing.</w:t>
      </w:r>
    </w:p>
    <w:p w:rsidR="00CE6104" w:rsidRPr="00CE6104" w:rsidRDefault="00CE6104" w:rsidP="00CE6104">
      <w:pPr>
        <w:jc w:val="both"/>
        <w:rPr>
          <w:color w:val="000000"/>
          <w:szCs w:val="22"/>
        </w:rPr>
      </w:pPr>
    </w:p>
    <w:p w:rsidR="00CE6104" w:rsidRDefault="00CE6104" w:rsidP="00CE6104">
      <w:pPr>
        <w:jc w:val="both"/>
        <w:rPr>
          <w:b/>
          <w:color w:val="000000"/>
          <w:szCs w:val="22"/>
        </w:rPr>
      </w:pPr>
      <w:r w:rsidRPr="00CE6104">
        <w:rPr>
          <w:b/>
          <w:color w:val="000000"/>
          <w:szCs w:val="22"/>
        </w:rPr>
        <w:t xml:space="preserve">Mask Audit   </w:t>
      </w:r>
    </w:p>
    <w:p w:rsidR="00CE6104" w:rsidRPr="00CE6104" w:rsidRDefault="00CE6104" w:rsidP="00CE6104">
      <w:pPr>
        <w:jc w:val="both"/>
        <w:rPr>
          <w:b/>
          <w:color w:val="000000"/>
          <w:szCs w:val="22"/>
        </w:rPr>
      </w:pPr>
    </w:p>
    <w:p w:rsidR="00CE6104" w:rsidRPr="00CE6104" w:rsidRDefault="00CE6104" w:rsidP="00CE6104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84 audits were completed with 100% compliance noted! </w:t>
      </w:r>
    </w:p>
    <w:p w:rsidR="00CE6104" w:rsidRPr="00CE6104" w:rsidRDefault="00CE6104" w:rsidP="00CE6104">
      <w:pPr>
        <w:jc w:val="both"/>
        <w:rPr>
          <w:color w:val="000000"/>
          <w:szCs w:val="22"/>
        </w:rPr>
      </w:pPr>
    </w:p>
    <w:p w:rsidR="00CE6104" w:rsidRPr="00CE6104" w:rsidRDefault="00CE6104" w:rsidP="00CE6104">
      <w:pPr>
        <w:jc w:val="both"/>
        <w:rPr>
          <w:color w:val="000000"/>
          <w:szCs w:val="22"/>
        </w:rPr>
      </w:pPr>
    </w:p>
    <w:p w:rsidR="00CE6104" w:rsidRPr="00CE6104" w:rsidRDefault="00CE6104" w:rsidP="00CE6104">
      <w:pPr>
        <w:jc w:val="both"/>
        <w:rPr>
          <w:b/>
          <w:color w:val="000000"/>
          <w:szCs w:val="22"/>
        </w:rPr>
      </w:pPr>
      <w:r w:rsidRPr="00CE6104">
        <w:rPr>
          <w:b/>
          <w:color w:val="000000"/>
          <w:szCs w:val="22"/>
        </w:rPr>
        <w:t>Infection Control/ PPE audits</w:t>
      </w:r>
    </w:p>
    <w:p w:rsidR="00CE6104" w:rsidRPr="00CE6104" w:rsidRDefault="00CE6104" w:rsidP="00CE6104">
      <w:pPr>
        <w:jc w:val="both"/>
        <w:rPr>
          <w:color w:val="000000"/>
          <w:szCs w:val="22"/>
        </w:rPr>
      </w:pPr>
    </w:p>
    <w:p w:rsidR="00CE6104" w:rsidRDefault="00CE6104" w:rsidP="00CE6104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71 audits completed with 86% compliance. The 14% not met was related to restocking of supplies along with some signage issues related to resident movement. </w:t>
      </w:r>
    </w:p>
    <w:p w:rsidR="00CE6104" w:rsidRPr="00CE6104" w:rsidRDefault="00CE6104" w:rsidP="00CE6104">
      <w:pPr>
        <w:jc w:val="both"/>
        <w:rPr>
          <w:color w:val="000000"/>
          <w:szCs w:val="22"/>
        </w:rPr>
      </w:pPr>
    </w:p>
    <w:p w:rsidR="00276764" w:rsidRDefault="00CE6104" w:rsidP="00CE6104">
      <w:pPr>
        <w:jc w:val="both"/>
        <w:rPr>
          <w:color w:val="000000"/>
          <w:szCs w:val="22"/>
        </w:rPr>
      </w:pPr>
      <w:r w:rsidRPr="00CE6104">
        <w:rPr>
          <w:color w:val="000000"/>
          <w:szCs w:val="22"/>
        </w:rPr>
        <w:t xml:space="preserve">Action: </w:t>
      </w:r>
      <w:r>
        <w:rPr>
          <w:color w:val="000000"/>
          <w:szCs w:val="22"/>
        </w:rPr>
        <w:t>Reminder sent to staff to ensure signage is moved when a resident transfer</w:t>
      </w:r>
      <w:r w:rsidR="00A61C28">
        <w:rPr>
          <w:color w:val="000000"/>
          <w:szCs w:val="22"/>
        </w:rPr>
        <w:t>s</w:t>
      </w:r>
      <w:r>
        <w:rPr>
          <w:color w:val="000000"/>
          <w:szCs w:val="22"/>
        </w:rPr>
        <w:t xml:space="preserve"> from one room to another. Also encouraged all staff to help restock PPE carts when stock is getting low. </w:t>
      </w:r>
    </w:p>
    <w:p w:rsidR="00276764" w:rsidRDefault="00276764" w:rsidP="008D3D7A">
      <w:pPr>
        <w:jc w:val="both"/>
        <w:rPr>
          <w:color w:val="000000"/>
          <w:szCs w:val="22"/>
        </w:rPr>
      </w:pPr>
    </w:p>
    <w:p w:rsidR="00276764" w:rsidRDefault="00276764" w:rsidP="008D3D7A">
      <w:pPr>
        <w:jc w:val="both"/>
        <w:rPr>
          <w:color w:val="000000"/>
          <w:szCs w:val="22"/>
        </w:rPr>
      </w:pPr>
    </w:p>
    <w:p w:rsidR="001B4EC0" w:rsidRDefault="001B4EC0" w:rsidP="00276764">
      <w:pPr>
        <w:rPr>
          <w:b/>
          <w:sz w:val="24"/>
        </w:rPr>
      </w:pPr>
    </w:p>
    <w:p w:rsidR="00276764" w:rsidRPr="00646673" w:rsidRDefault="003A77BE" w:rsidP="00276764">
      <w:pPr>
        <w:rPr>
          <w:rFonts w:ascii="Calibri" w:hAnsi="Calibri"/>
          <w:b/>
        </w:rPr>
      </w:pPr>
      <w:r>
        <w:rPr>
          <w:b/>
          <w:sz w:val="24"/>
        </w:rPr>
        <w:t>6</w:t>
      </w:r>
      <w:r w:rsidR="00276764" w:rsidRPr="00027301">
        <w:rPr>
          <w:b/>
          <w:sz w:val="24"/>
        </w:rPr>
        <w:t>.0</w:t>
      </w:r>
      <w:r w:rsidR="00276764">
        <w:rPr>
          <w:b/>
        </w:rPr>
        <w:tab/>
      </w:r>
      <w:r w:rsidR="00276764" w:rsidRPr="00881F7F">
        <w:rPr>
          <w:b/>
          <w:sz w:val="24"/>
        </w:rPr>
        <w:t xml:space="preserve">Shoreham Village - </w:t>
      </w:r>
      <w:r w:rsidR="00276764">
        <w:rPr>
          <w:b/>
          <w:sz w:val="24"/>
        </w:rPr>
        <w:t>Volunteer</w:t>
      </w:r>
      <w:r w:rsidR="00276764" w:rsidRPr="00881F7F">
        <w:rPr>
          <w:b/>
          <w:sz w:val="24"/>
        </w:rPr>
        <w:t xml:space="preserve"> Report – Q</w:t>
      </w:r>
      <w:r w:rsidR="00EC23B2">
        <w:rPr>
          <w:b/>
          <w:sz w:val="24"/>
        </w:rPr>
        <w:t>1</w:t>
      </w:r>
      <w:r w:rsidR="00276764">
        <w:rPr>
          <w:b/>
          <w:sz w:val="24"/>
        </w:rPr>
        <w:t xml:space="preserve"> </w:t>
      </w:r>
      <w:r w:rsidR="00EC23B2">
        <w:rPr>
          <w:b/>
          <w:sz w:val="24"/>
        </w:rPr>
        <w:t>April</w:t>
      </w:r>
      <w:r w:rsidR="00276764" w:rsidRPr="00881F7F">
        <w:rPr>
          <w:b/>
          <w:sz w:val="24"/>
        </w:rPr>
        <w:t xml:space="preserve"> – </w:t>
      </w:r>
      <w:r w:rsidR="00A41C1C">
        <w:rPr>
          <w:b/>
          <w:sz w:val="24"/>
        </w:rPr>
        <w:t>June 2022</w:t>
      </w:r>
      <w:r w:rsidR="00276764">
        <w:rPr>
          <w:b/>
          <w:sz w:val="24"/>
        </w:rPr>
        <w:t>/2</w:t>
      </w:r>
      <w:r w:rsidR="00A41C1C">
        <w:rPr>
          <w:b/>
          <w:sz w:val="24"/>
        </w:rPr>
        <w:t>3</w:t>
      </w:r>
    </w:p>
    <w:p w:rsidR="00276764" w:rsidRDefault="00276764" w:rsidP="008D3D7A">
      <w:pPr>
        <w:jc w:val="both"/>
        <w:rPr>
          <w:rFonts w:ascii="Calibri" w:hAnsi="Calibri"/>
          <w:szCs w:val="22"/>
        </w:rPr>
      </w:pPr>
    </w:p>
    <w:p w:rsidR="00EC23B2" w:rsidRDefault="00EC23B2" w:rsidP="008D3D7A">
      <w:pPr>
        <w:jc w:val="both"/>
        <w:rPr>
          <w:rFonts w:ascii="Calibri" w:hAnsi="Calibri"/>
          <w:szCs w:val="22"/>
        </w:rPr>
      </w:pPr>
    </w:p>
    <w:p w:rsidR="00276764" w:rsidRDefault="00276764" w:rsidP="008D3D7A">
      <w:pPr>
        <w:jc w:val="both"/>
        <w:rPr>
          <w:rFonts w:ascii="Calibri" w:hAnsi="Calibri"/>
          <w:szCs w:val="22"/>
        </w:rPr>
      </w:pPr>
    </w:p>
    <w:p w:rsidR="00276764" w:rsidRDefault="00276764" w:rsidP="00276764">
      <w:r>
        <w:rPr>
          <w:noProof/>
          <w:lang w:val="en-CA" w:eastAsia="en-CA"/>
        </w:rPr>
        <w:drawing>
          <wp:inline distT="0" distB="0" distL="0" distR="0">
            <wp:extent cx="4572000" cy="2743200"/>
            <wp:effectExtent l="0" t="0" r="0" b="0"/>
            <wp:docPr id="1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76764" w:rsidRDefault="00276764" w:rsidP="0027676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4336"/>
      </w:tblGrid>
      <w:tr w:rsidR="00276764" w:rsidTr="0027660C">
        <w:trPr>
          <w:trHeight w:val="906"/>
        </w:trPr>
        <w:tc>
          <w:tcPr>
            <w:tcW w:w="5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64" w:rsidRPr="0027660C" w:rsidRDefault="00276764" w:rsidP="00276764">
            <w:pPr>
              <w:rPr>
                <w:rFonts w:cs="Arial"/>
                <w:b/>
                <w:sz w:val="24"/>
              </w:rPr>
            </w:pPr>
            <w:r w:rsidRPr="0027660C">
              <w:rPr>
                <w:rFonts w:cs="Arial"/>
                <w:b/>
                <w:sz w:val="24"/>
              </w:rPr>
              <w:t>Volunteer Recruitment, Training and Retention</w:t>
            </w:r>
          </w:p>
          <w:p w:rsidR="00276764" w:rsidRDefault="00276764" w:rsidP="002767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64" w:rsidRPr="001E3A78" w:rsidRDefault="00276764" w:rsidP="00276764">
            <w:pPr>
              <w:rPr>
                <w:rFonts w:cs="Arial"/>
                <w:b/>
                <w:sz w:val="24"/>
              </w:rPr>
            </w:pPr>
            <w:r w:rsidRPr="001E3A78">
              <w:rPr>
                <w:rFonts w:cs="Arial"/>
                <w:b/>
                <w:sz w:val="24"/>
              </w:rPr>
              <w:t>Steady or Growing volunteer base</w:t>
            </w:r>
          </w:p>
          <w:p w:rsidR="00276764" w:rsidRPr="001E3A78" w:rsidRDefault="00276764" w:rsidP="00276764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276764" w:rsidTr="0027660C">
        <w:trPr>
          <w:trHeight w:val="906"/>
        </w:trPr>
        <w:tc>
          <w:tcPr>
            <w:tcW w:w="5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78" w:rsidRPr="00547778" w:rsidRDefault="00547778" w:rsidP="00547778">
            <w:pPr>
              <w:rPr>
                <w:rFonts w:cs="Arial"/>
                <w:szCs w:val="22"/>
              </w:rPr>
            </w:pPr>
            <w:r w:rsidRPr="00547778">
              <w:rPr>
                <w:rFonts w:cs="Arial"/>
                <w:szCs w:val="22"/>
              </w:rPr>
              <w:t>Volunteer recruitment, training and retention-</w:t>
            </w:r>
          </w:p>
          <w:p w:rsidR="00547778" w:rsidRDefault="00547778" w:rsidP="00547778">
            <w:pPr>
              <w:rPr>
                <w:rFonts w:cs="Arial"/>
                <w:szCs w:val="22"/>
              </w:rPr>
            </w:pPr>
            <w:r w:rsidRPr="00547778">
              <w:rPr>
                <w:rFonts w:cs="Arial"/>
                <w:szCs w:val="22"/>
              </w:rPr>
              <w:t>Covid-19 has had a direct impact on recruiting volunteers at this time.</w:t>
            </w:r>
          </w:p>
          <w:p w:rsidR="00276764" w:rsidRPr="00D2433C" w:rsidRDefault="00547778" w:rsidP="00547778">
            <w:pPr>
              <w:rPr>
                <w:rFonts w:ascii="Arial" w:hAnsi="Arial" w:cs="Arial"/>
                <w:sz w:val="18"/>
                <w:szCs w:val="18"/>
              </w:rPr>
            </w:pPr>
            <w:r w:rsidRPr="00547778">
              <w:rPr>
                <w:rFonts w:cs="Arial"/>
                <w:szCs w:val="22"/>
              </w:rPr>
              <w:t xml:space="preserve">Shoreham continues to maintain communications and updates with all activities 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78" w:rsidRDefault="00547778" w:rsidP="00547778">
            <w:pPr>
              <w:rPr>
                <w:rFonts w:cs="Arial"/>
                <w:szCs w:val="22"/>
              </w:rPr>
            </w:pPr>
            <w:r w:rsidRPr="00547778">
              <w:rPr>
                <w:rFonts w:cs="Arial"/>
                <w:szCs w:val="22"/>
              </w:rPr>
              <w:t xml:space="preserve">Our volunteer department has remained steady with no change. </w:t>
            </w:r>
          </w:p>
          <w:p w:rsidR="00276764" w:rsidRPr="00547778" w:rsidRDefault="00547778" w:rsidP="00547778">
            <w:pPr>
              <w:rPr>
                <w:rFonts w:cs="Arial"/>
                <w:szCs w:val="22"/>
              </w:rPr>
            </w:pPr>
            <w:r w:rsidRPr="00547778">
              <w:rPr>
                <w:rFonts w:cs="Arial"/>
                <w:szCs w:val="22"/>
              </w:rPr>
              <w:t>We have heard from some</w:t>
            </w:r>
            <w:r>
              <w:rPr>
                <w:rFonts w:cs="Arial"/>
                <w:szCs w:val="22"/>
              </w:rPr>
              <w:t xml:space="preserve"> individuals and groups of</w:t>
            </w:r>
            <w:r w:rsidRPr="00547778">
              <w:rPr>
                <w:rFonts w:cs="Arial"/>
                <w:szCs w:val="22"/>
              </w:rPr>
              <w:t xml:space="preserve"> volunteers that rising costs, specifically for gas, is a becoming a barrier to volunteering. </w:t>
            </w:r>
          </w:p>
        </w:tc>
      </w:tr>
    </w:tbl>
    <w:p w:rsidR="00276764" w:rsidRDefault="00276764" w:rsidP="00276764"/>
    <w:p w:rsidR="00276764" w:rsidRDefault="00276764" w:rsidP="008D3D7A">
      <w:pPr>
        <w:jc w:val="both"/>
        <w:rPr>
          <w:rFonts w:ascii="Calibri" w:hAnsi="Calibri"/>
          <w:szCs w:val="22"/>
        </w:rPr>
      </w:pPr>
    </w:p>
    <w:sectPr w:rsidR="00276764" w:rsidSect="007D2620">
      <w:headerReference w:type="default" r:id="rId16"/>
      <w:footerReference w:type="default" r:id="rId17"/>
      <w:pgSz w:w="12240" w:h="15840"/>
      <w:pgMar w:top="630" w:right="1440" w:bottom="720" w:left="990" w:header="540" w:footer="54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A7" w:rsidRDefault="009C2EA7" w:rsidP="001C6404">
      <w:r>
        <w:separator/>
      </w:r>
    </w:p>
  </w:endnote>
  <w:endnote w:type="continuationSeparator" w:id="0">
    <w:p w:rsidR="009C2EA7" w:rsidRDefault="009C2EA7" w:rsidP="001C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563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2EA7" w:rsidRDefault="009C2EA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4E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2EA7" w:rsidRDefault="009C2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A7" w:rsidRDefault="009C2EA7" w:rsidP="001C6404">
      <w:r>
        <w:separator/>
      </w:r>
    </w:p>
  </w:footnote>
  <w:footnote w:type="continuationSeparator" w:id="0">
    <w:p w:rsidR="009C2EA7" w:rsidRDefault="009C2EA7" w:rsidP="001C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A7" w:rsidRPr="00CF1910" w:rsidRDefault="009C2EA7">
    <w:pPr>
      <w:pStyle w:val="Header"/>
      <w:rPr>
        <w:i/>
        <w:sz w:val="28"/>
        <w:szCs w:val="28"/>
      </w:rPr>
    </w:pPr>
    <w:r w:rsidRPr="00CF1910">
      <w:rPr>
        <w:i/>
        <w:sz w:val="28"/>
        <w:szCs w:val="28"/>
      </w:rPr>
      <w:t>Shoreham Village Resident Care Scorecard</w:t>
    </w:r>
  </w:p>
  <w:p w:rsidR="009C2EA7" w:rsidRDefault="009C2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0CC"/>
    <w:multiLevelType w:val="hybridMultilevel"/>
    <w:tmpl w:val="1380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58AC"/>
    <w:multiLevelType w:val="multilevel"/>
    <w:tmpl w:val="2EFE4CFE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2F237FF8"/>
    <w:multiLevelType w:val="hybridMultilevel"/>
    <w:tmpl w:val="38C8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24296"/>
    <w:multiLevelType w:val="hybridMultilevel"/>
    <w:tmpl w:val="795A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379B4"/>
    <w:multiLevelType w:val="hybridMultilevel"/>
    <w:tmpl w:val="9E30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57068"/>
    <w:multiLevelType w:val="hybridMultilevel"/>
    <w:tmpl w:val="22F4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0B"/>
    <w:rsid w:val="00001101"/>
    <w:rsid w:val="00001E76"/>
    <w:rsid w:val="00006395"/>
    <w:rsid w:val="0001080C"/>
    <w:rsid w:val="00011193"/>
    <w:rsid w:val="00015F41"/>
    <w:rsid w:val="0002160E"/>
    <w:rsid w:val="000260BD"/>
    <w:rsid w:val="00027301"/>
    <w:rsid w:val="00027A97"/>
    <w:rsid w:val="000474DA"/>
    <w:rsid w:val="000501E8"/>
    <w:rsid w:val="0005139C"/>
    <w:rsid w:val="00055044"/>
    <w:rsid w:val="00055640"/>
    <w:rsid w:val="0005661E"/>
    <w:rsid w:val="0006339A"/>
    <w:rsid w:val="0006629D"/>
    <w:rsid w:val="0008356C"/>
    <w:rsid w:val="000844CD"/>
    <w:rsid w:val="00086FB9"/>
    <w:rsid w:val="00087BCB"/>
    <w:rsid w:val="000A1814"/>
    <w:rsid w:val="000A4A87"/>
    <w:rsid w:val="000A5242"/>
    <w:rsid w:val="000A6825"/>
    <w:rsid w:val="000B2C44"/>
    <w:rsid w:val="000B617F"/>
    <w:rsid w:val="000C2076"/>
    <w:rsid w:val="000C4872"/>
    <w:rsid w:val="000C4BFF"/>
    <w:rsid w:val="000D12E5"/>
    <w:rsid w:val="000D67FC"/>
    <w:rsid w:val="000D705B"/>
    <w:rsid w:val="000F7DC4"/>
    <w:rsid w:val="00113AEC"/>
    <w:rsid w:val="00114B4A"/>
    <w:rsid w:val="001206C5"/>
    <w:rsid w:val="00122916"/>
    <w:rsid w:val="001242AC"/>
    <w:rsid w:val="00124BEE"/>
    <w:rsid w:val="001253A1"/>
    <w:rsid w:val="00134B14"/>
    <w:rsid w:val="00134C02"/>
    <w:rsid w:val="001421F3"/>
    <w:rsid w:val="00144FB8"/>
    <w:rsid w:val="00145336"/>
    <w:rsid w:val="00145ABC"/>
    <w:rsid w:val="00147D37"/>
    <w:rsid w:val="00151BC2"/>
    <w:rsid w:val="0016425D"/>
    <w:rsid w:val="00164F42"/>
    <w:rsid w:val="00172E32"/>
    <w:rsid w:val="001745D1"/>
    <w:rsid w:val="00184931"/>
    <w:rsid w:val="0019297B"/>
    <w:rsid w:val="00196327"/>
    <w:rsid w:val="00197212"/>
    <w:rsid w:val="001A77C4"/>
    <w:rsid w:val="001B4EC0"/>
    <w:rsid w:val="001C00B9"/>
    <w:rsid w:val="001C6404"/>
    <w:rsid w:val="001D00D6"/>
    <w:rsid w:val="001D0D53"/>
    <w:rsid w:val="001D4DA3"/>
    <w:rsid w:val="001E3A78"/>
    <w:rsid w:val="001F29A7"/>
    <w:rsid w:val="00206CFF"/>
    <w:rsid w:val="00212425"/>
    <w:rsid w:val="00216BEA"/>
    <w:rsid w:val="00221FD2"/>
    <w:rsid w:val="00225F74"/>
    <w:rsid w:val="0024056C"/>
    <w:rsid w:val="0024666D"/>
    <w:rsid w:val="00246F18"/>
    <w:rsid w:val="00256618"/>
    <w:rsid w:val="00261314"/>
    <w:rsid w:val="00261EFC"/>
    <w:rsid w:val="002622EC"/>
    <w:rsid w:val="00262A94"/>
    <w:rsid w:val="00266D36"/>
    <w:rsid w:val="002673C2"/>
    <w:rsid w:val="00273CBD"/>
    <w:rsid w:val="0027660C"/>
    <w:rsid w:val="00276764"/>
    <w:rsid w:val="002768AC"/>
    <w:rsid w:val="002802F2"/>
    <w:rsid w:val="002958B0"/>
    <w:rsid w:val="002A0737"/>
    <w:rsid w:val="002A3CF7"/>
    <w:rsid w:val="002B1277"/>
    <w:rsid w:val="002B772F"/>
    <w:rsid w:val="002C1405"/>
    <w:rsid w:val="002C178F"/>
    <w:rsid w:val="002C526D"/>
    <w:rsid w:val="002C7B33"/>
    <w:rsid w:val="002D389D"/>
    <w:rsid w:val="002D56AD"/>
    <w:rsid w:val="002E4C65"/>
    <w:rsid w:val="002E762B"/>
    <w:rsid w:val="002F35D7"/>
    <w:rsid w:val="00303213"/>
    <w:rsid w:val="003056B5"/>
    <w:rsid w:val="003120D1"/>
    <w:rsid w:val="003141E3"/>
    <w:rsid w:val="00316133"/>
    <w:rsid w:val="00316150"/>
    <w:rsid w:val="00330C99"/>
    <w:rsid w:val="0033110A"/>
    <w:rsid w:val="00332CE6"/>
    <w:rsid w:val="00333940"/>
    <w:rsid w:val="00335325"/>
    <w:rsid w:val="0034126B"/>
    <w:rsid w:val="00342822"/>
    <w:rsid w:val="00342CED"/>
    <w:rsid w:val="00357201"/>
    <w:rsid w:val="00390E27"/>
    <w:rsid w:val="0039257A"/>
    <w:rsid w:val="003A0B71"/>
    <w:rsid w:val="003A2481"/>
    <w:rsid w:val="003A274E"/>
    <w:rsid w:val="003A5907"/>
    <w:rsid w:val="003A77BE"/>
    <w:rsid w:val="003B3F66"/>
    <w:rsid w:val="003C133E"/>
    <w:rsid w:val="003D6CD2"/>
    <w:rsid w:val="003E1E41"/>
    <w:rsid w:val="003E43F3"/>
    <w:rsid w:val="003E57E2"/>
    <w:rsid w:val="003F7102"/>
    <w:rsid w:val="00405760"/>
    <w:rsid w:val="004101DC"/>
    <w:rsid w:val="00412DA4"/>
    <w:rsid w:val="004175E1"/>
    <w:rsid w:val="00421B40"/>
    <w:rsid w:val="00433791"/>
    <w:rsid w:val="00435291"/>
    <w:rsid w:val="00437C59"/>
    <w:rsid w:val="00445E9D"/>
    <w:rsid w:val="00452861"/>
    <w:rsid w:val="004613F0"/>
    <w:rsid w:val="00462123"/>
    <w:rsid w:val="00470322"/>
    <w:rsid w:val="00471539"/>
    <w:rsid w:val="00475C1E"/>
    <w:rsid w:val="00481B18"/>
    <w:rsid w:val="00483D2E"/>
    <w:rsid w:val="00485001"/>
    <w:rsid w:val="00486472"/>
    <w:rsid w:val="00491D98"/>
    <w:rsid w:val="004A4EA7"/>
    <w:rsid w:val="004A63A6"/>
    <w:rsid w:val="004A77F3"/>
    <w:rsid w:val="004B0950"/>
    <w:rsid w:val="004C17E7"/>
    <w:rsid w:val="004C2D51"/>
    <w:rsid w:val="004C7336"/>
    <w:rsid w:val="004E05ED"/>
    <w:rsid w:val="004E2E0E"/>
    <w:rsid w:val="004F2410"/>
    <w:rsid w:val="004F3B60"/>
    <w:rsid w:val="004F5DBC"/>
    <w:rsid w:val="005032E8"/>
    <w:rsid w:val="005055BD"/>
    <w:rsid w:val="005117EC"/>
    <w:rsid w:val="00511E80"/>
    <w:rsid w:val="00527A01"/>
    <w:rsid w:val="00530023"/>
    <w:rsid w:val="005349A3"/>
    <w:rsid w:val="005411A7"/>
    <w:rsid w:val="00543A8B"/>
    <w:rsid w:val="00547778"/>
    <w:rsid w:val="00554218"/>
    <w:rsid w:val="00572DD2"/>
    <w:rsid w:val="00575ED1"/>
    <w:rsid w:val="005833AB"/>
    <w:rsid w:val="005855D8"/>
    <w:rsid w:val="0059043D"/>
    <w:rsid w:val="005A183F"/>
    <w:rsid w:val="005A2626"/>
    <w:rsid w:val="005A5966"/>
    <w:rsid w:val="005A7F3B"/>
    <w:rsid w:val="005B242C"/>
    <w:rsid w:val="005B5274"/>
    <w:rsid w:val="005B5C4A"/>
    <w:rsid w:val="005B6CBA"/>
    <w:rsid w:val="005B6F31"/>
    <w:rsid w:val="005B7123"/>
    <w:rsid w:val="005C0AA5"/>
    <w:rsid w:val="005C6AEA"/>
    <w:rsid w:val="005D35B2"/>
    <w:rsid w:val="005F05BB"/>
    <w:rsid w:val="005F22C7"/>
    <w:rsid w:val="005F302A"/>
    <w:rsid w:val="005F5DA0"/>
    <w:rsid w:val="00603293"/>
    <w:rsid w:val="006033F1"/>
    <w:rsid w:val="00620026"/>
    <w:rsid w:val="006235F2"/>
    <w:rsid w:val="00633DDB"/>
    <w:rsid w:val="00644296"/>
    <w:rsid w:val="00656859"/>
    <w:rsid w:val="00662299"/>
    <w:rsid w:val="00664FFC"/>
    <w:rsid w:val="00666DF4"/>
    <w:rsid w:val="00673301"/>
    <w:rsid w:val="00680BAB"/>
    <w:rsid w:val="00691D4B"/>
    <w:rsid w:val="00692019"/>
    <w:rsid w:val="00692F36"/>
    <w:rsid w:val="00693F6D"/>
    <w:rsid w:val="006A1E19"/>
    <w:rsid w:val="006A2058"/>
    <w:rsid w:val="006A2382"/>
    <w:rsid w:val="006C4CD5"/>
    <w:rsid w:val="006C58F8"/>
    <w:rsid w:val="006E086A"/>
    <w:rsid w:val="006F314C"/>
    <w:rsid w:val="007079A9"/>
    <w:rsid w:val="00735F15"/>
    <w:rsid w:val="007407D3"/>
    <w:rsid w:val="00747888"/>
    <w:rsid w:val="0075430F"/>
    <w:rsid w:val="00755211"/>
    <w:rsid w:val="0075755D"/>
    <w:rsid w:val="00757992"/>
    <w:rsid w:val="00766F7C"/>
    <w:rsid w:val="007672D5"/>
    <w:rsid w:val="0077133C"/>
    <w:rsid w:val="0077356E"/>
    <w:rsid w:val="0077660B"/>
    <w:rsid w:val="007779B1"/>
    <w:rsid w:val="00784FB1"/>
    <w:rsid w:val="00791BBD"/>
    <w:rsid w:val="0079226C"/>
    <w:rsid w:val="00795DD6"/>
    <w:rsid w:val="007A32CB"/>
    <w:rsid w:val="007A725E"/>
    <w:rsid w:val="007A7E7D"/>
    <w:rsid w:val="007C02F8"/>
    <w:rsid w:val="007C57BF"/>
    <w:rsid w:val="007D2620"/>
    <w:rsid w:val="007D64B6"/>
    <w:rsid w:val="007D6EAA"/>
    <w:rsid w:val="007D7CDF"/>
    <w:rsid w:val="007E19A1"/>
    <w:rsid w:val="007E6268"/>
    <w:rsid w:val="00807005"/>
    <w:rsid w:val="008106E1"/>
    <w:rsid w:val="008158AA"/>
    <w:rsid w:val="0082331B"/>
    <w:rsid w:val="00824EE2"/>
    <w:rsid w:val="00826FFE"/>
    <w:rsid w:val="0084011E"/>
    <w:rsid w:val="0084565D"/>
    <w:rsid w:val="0085118F"/>
    <w:rsid w:val="008537FE"/>
    <w:rsid w:val="00855DDD"/>
    <w:rsid w:val="00862528"/>
    <w:rsid w:val="008711CA"/>
    <w:rsid w:val="0087268C"/>
    <w:rsid w:val="0087574E"/>
    <w:rsid w:val="00881F7F"/>
    <w:rsid w:val="008840B2"/>
    <w:rsid w:val="00887E63"/>
    <w:rsid w:val="00890802"/>
    <w:rsid w:val="00891EDF"/>
    <w:rsid w:val="008A13FC"/>
    <w:rsid w:val="008A3793"/>
    <w:rsid w:val="008A4D31"/>
    <w:rsid w:val="008B189A"/>
    <w:rsid w:val="008B2FE9"/>
    <w:rsid w:val="008B4E2C"/>
    <w:rsid w:val="008B5A9E"/>
    <w:rsid w:val="008D3B96"/>
    <w:rsid w:val="008D3D7A"/>
    <w:rsid w:val="008D3EA3"/>
    <w:rsid w:val="008D408C"/>
    <w:rsid w:val="008D4F83"/>
    <w:rsid w:val="008D5EA6"/>
    <w:rsid w:val="008D69E6"/>
    <w:rsid w:val="008E2913"/>
    <w:rsid w:val="008E5D3E"/>
    <w:rsid w:val="008E6C0F"/>
    <w:rsid w:val="008F180C"/>
    <w:rsid w:val="008F53A5"/>
    <w:rsid w:val="00902AD9"/>
    <w:rsid w:val="0090517C"/>
    <w:rsid w:val="0092395D"/>
    <w:rsid w:val="00936BEA"/>
    <w:rsid w:val="00943193"/>
    <w:rsid w:val="0094473E"/>
    <w:rsid w:val="00954AD5"/>
    <w:rsid w:val="00954E1B"/>
    <w:rsid w:val="00965DA1"/>
    <w:rsid w:val="00965EBE"/>
    <w:rsid w:val="00966716"/>
    <w:rsid w:val="009834D6"/>
    <w:rsid w:val="00983935"/>
    <w:rsid w:val="0098469E"/>
    <w:rsid w:val="009848F5"/>
    <w:rsid w:val="00987258"/>
    <w:rsid w:val="009901F9"/>
    <w:rsid w:val="00990981"/>
    <w:rsid w:val="009A15DB"/>
    <w:rsid w:val="009A4D68"/>
    <w:rsid w:val="009A753B"/>
    <w:rsid w:val="009A7AD1"/>
    <w:rsid w:val="009C2EA7"/>
    <w:rsid w:val="009C40EC"/>
    <w:rsid w:val="009C5733"/>
    <w:rsid w:val="009D0E25"/>
    <w:rsid w:val="009D2F81"/>
    <w:rsid w:val="009D423A"/>
    <w:rsid w:val="009E5F2D"/>
    <w:rsid w:val="009F061E"/>
    <w:rsid w:val="009F74CE"/>
    <w:rsid w:val="00A04DB1"/>
    <w:rsid w:val="00A05A74"/>
    <w:rsid w:val="00A07C63"/>
    <w:rsid w:val="00A14046"/>
    <w:rsid w:val="00A335D1"/>
    <w:rsid w:val="00A3371A"/>
    <w:rsid w:val="00A3556A"/>
    <w:rsid w:val="00A36E58"/>
    <w:rsid w:val="00A37CAB"/>
    <w:rsid w:val="00A41C1C"/>
    <w:rsid w:val="00A46228"/>
    <w:rsid w:val="00A5141A"/>
    <w:rsid w:val="00A54C55"/>
    <w:rsid w:val="00A61C28"/>
    <w:rsid w:val="00A61FAD"/>
    <w:rsid w:val="00A66368"/>
    <w:rsid w:val="00A70486"/>
    <w:rsid w:val="00A76C74"/>
    <w:rsid w:val="00A82FB4"/>
    <w:rsid w:val="00A839E2"/>
    <w:rsid w:val="00A93FA3"/>
    <w:rsid w:val="00A9520E"/>
    <w:rsid w:val="00A95F73"/>
    <w:rsid w:val="00AA348E"/>
    <w:rsid w:val="00AA6B76"/>
    <w:rsid w:val="00AB02B2"/>
    <w:rsid w:val="00AC3FFF"/>
    <w:rsid w:val="00AC4680"/>
    <w:rsid w:val="00AC5680"/>
    <w:rsid w:val="00AD6E88"/>
    <w:rsid w:val="00AE20EC"/>
    <w:rsid w:val="00AE656D"/>
    <w:rsid w:val="00AE7408"/>
    <w:rsid w:val="00B1334F"/>
    <w:rsid w:val="00B32F12"/>
    <w:rsid w:val="00B3600D"/>
    <w:rsid w:val="00B43F27"/>
    <w:rsid w:val="00B51CA0"/>
    <w:rsid w:val="00B560BE"/>
    <w:rsid w:val="00B567AA"/>
    <w:rsid w:val="00B604E4"/>
    <w:rsid w:val="00B6263D"/>
    <w:rsid w:val="00B67871"/>
    <w:rsid w:val="00B74024"/>
    <w:rsid w:val="00B7703A"/>
    <w:rsid w:val="00B849EE"/>
    <w:rsid w:val="00B92E45"/>
    <w:rsid w:val="00BA152B"/>
    <w:rsid w:val="00BA5693"/>
    <w:rsid w:val="00BC3941"/>
    <w:rsid w:val="00BC6BAD"/>
    <w:rsid w:val="00BD01FE"/>
    <w:rsid w:val="00BD0FF7"/>
    <w:rsid w:val="00BE065B"/>
    <w:rsid w:val="00BE0E09"/>
    <w:rsid w:val="00BE3064"/>
    <w:rsid w:val="00BE43E5"/>
    <w:rsid w:val="00BE48BB"/>
    <w:rsid w:val="00BF0B2B"/>
    <w:rsid w:val="00BF259C"/>
    <w:rsid w:val="00C017F4"/>
    <w:rsid w:val="00C05F10"/>
    <w:rsid w:val="00C10A85"/>
    <w:rsid w:val="00C10E5E"/>
    <w:rsid w:val="00C12E20"/>
    <w:rsid w:val="00C247CD"/>
    <w:rsid w:val="00C25386"/>
    <w:rsid w:val="00C30F46"/>
    <w:rsid w:val="00C360C0"/>
    <w:rsid w:val="00C442D7"/>
    <w:rsid w:val="00C57C80"/>
    <w:rsid w:val="00C60C95"/>
    <w:rsid w:val="00C6110C"/>
    <w:rsid w:val="00C62BFD"/>
    <w:rsid w:val="00C803C5"/>
    <w:rsid w:val="00C825BC"/>
    <w:rsid w:val="00C82E0F"/>
    <w:rsid w:val="00C95D57"/>
    <w:rsid w:val="00CA1960"/>
    <w:rsid w:val="00CA44BD"/>
    <w:rsid w:val="00CB0259"/>
    <w:rsid w:val="00CB10C7"/>
    <w:rsid w:val="00CB2069"/>
    <w:rsid w:val="00CC7350"/>
    <w:rsid w:val="00CD2633"/>
    <w:rsid w:val="00CD3537"/>
    <w:rsid w:val="00CD4D9E"/>
    <w:rsid w:val="00CE0113"/>
    <w:rsid w:val="00CE6104"/>
    <w:rsid w:val="00CE6167"/>
    <w:rsid w:val="00CE6A7A"/>
    <w:rsid w:val="00CE7A95"/>
    <w:rsid w:val="00CF1910"/>
    <w:rsid w:val="00CF4AE4"/>
    <w:rsid w:val="00D00870"/>
    <w:rsid w:val="00D0099D"/>
    <w:rsid w:val="00D10EBE"/>
    <w:rsid w:val="00D12FAE"/>
    <w:rsid w:val="00D14085"/>
    <w:rsid w:val="00D15529"/>
    <w:rsid w:val="00D24A78"/>
    <w:rsid w:val="00D26995"/>
    <w:rsid w:val="00D32DCB"/>
    <w:rsid w:val="00D36E35"/>
    <w:rsid w:val="00D36FAC"/>
    <w:rsid w:val="00D44B0E"/>
    <w:rsid w:val="00D44DE1"/>
    <w:rsid w:val="00D50629"/>
    <w:rsid w:val="00D54D50"/>
    <w:rsid w:val="00D56D7A"/>
    <w:rsid w:val="00D70818"/>
    <w:rsid w:val="00D77584"/>
    <w:rsid w:val="00D9263D"/>
    <w:rsid w:val="00D94606"/>
    <w:rsid w:val="00DA152B"/>
    <w:rsid w:val="00DB0F32"/>
    <w:rsid w:val="00DB1B97"/>
    <w:rsid w:val="00DB35D1"/>
    <w:rsid w:val="00DB6A72"/>
    <w:rsid w:val="00DB6AB9"/>
    <w:rsid w:val="00DC07A3"/>
    <w:rsid w:val="00DC2720"/>
    <w:rsid w:val="00DC3908"/>
    <w:rsid w:val="00DC78A8"/>
    <w:rsid w:val="00DD146A"/>
    <w:rsid w:val="00DD5AC5"/>
    <w:rsid w:val="00DD6DBC"/>
    <w:rsid w:val="00DE1332"/>
    <w:rsid w:val="00DE1D97"/>
    <w:rsid w:val="00DE2A81"/>
    <w:rsid w:val="00DE7E1D"/>
    <w:rsid w:val="00DF1B4E"/>
    <w:rsid w:val="00DF5D53"/>
    <w:rsid w:val="00E026DB"/>
    <w:rsid w:val="00E035C1"/>
    <w:rsid w:val="00E05E16"/>
    <w:rsid w:val="00E10670"/>
    <w:rsid w:val="00E1071F"/>
    <w:rsid w:val="00E249B6"/>
    <w:rsid w:val="00E4016D"/>
    <w:rsid w:val="00E56A12"/>
    <w:rsid w:val="00E773F0"/>
    <w:rsid w:val="00E964A8"/>
    <w:rsid w:val="00E970B5"/>
    <w:rsid w:val="00EA2CD4"/>
    <w:rsid w:val="00EB2216"/>
    <w:rsid w:val="00EC2006"/>
    <w:rsid w:val="00EC23B2"/>
    <w:rsid w:val="00EC751E"/>
    <w:rsid w:val="00ED0395"/>
    <w:rsid w:val="00ED282C"/>
    <w:rsid w:val="00ED4C09"/>
    <w:rsid w:val="00ED6671"/>
    <w:rsid w:val="00EE0C59"/>
    <w:rsid w:val="00EE3F9E"/>
    <w:rsid w:val="00EE4F15"/>
    <w:rsid w:val="00EE525C"/>
    <w:rsid w:val="00EF229E"/>
    <w:rsid w:val="00EF2C0A"/>
    <w:rsid w:val="00EF2DF8"/>
    <w:rsid w:val="00EF3F41"/>
    <w:rsid w:val="00EF7D9B"/>
    <w:rsid w:val="00F048BA"/>
    <w:rsid w:val="00F138E3"/>
    <w:rsid w:val="00F23D1F"/>
    <w:rsid w:val="00F270B2"/>
    <w:rsid w:val="00F309AC"/>
    <w:rsid w:val="00F454FE"/>
    <w:rsid w:val="00F47391"/>
    <w:rsid w:val="00F47893"/>
    <w:rsid w:val="00F51C64"/>
    <w:rsid w:val="00F52518"/>
    <w:rsid w:val="00F5331E"/>
    <w:rsid w:val="00F56C76"/>
    <w:rsid w:val="00F623BE"/>
    <w:rsid w:val="00F671C0"/>
    <w:rsid w:val="00F831C7"/>
    <w:rsid w:val="00F905E8"/>
    <w:rsid w:val="00F92D1D"/>
    <w:rsid w:val="00F92E60"/>
    <w:rsid w:val="00F97D6D"/>
    <w:rsid w:val="00F97E01"/>
    <w:rsid w:val="00FA6F91"/>
    <w:rsid w:val="00FB37D7"/>
    <w:rsid w:val="00FC1CCB"/>
    <w:rsid w:val="00FC369B"/>
    <w:rsid w:val="00FC6ED8"/>
    <w:rsid w:val="00FD7FB7"/>
    <w:rsid w:val="00FE14B7"/>
    <w:rsid w:val="00FE240A"/>
    <w:rsid w:val="00FE6473"/>
    <w:rsid w:val="00FF5C4C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5:docId w15:val="{729C759B-13B6-405D-8486-61FD0D97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60B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A37CAB"/>
    <w:pPr>
      <w:outlineLvl w:val="0"/>
    </w:pPr>
    <w:rPr>
      <w:rFonts w:ascii="Calibri" w:eastAsiaTheme="minorEastAsia" w:hAnsi="Calibri" w:cstheme="minorBid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60B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A37CAB"/>
    <w:rPr>
      <w:rFonts w:ascii="Calibri" w:eastAsiaTheme="minorEastAsia" w:hAnsi="Calibri"/>
      <w:b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147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404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6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404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43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 b="1" i="0" baseline="0"/>
              <a:t>Shoreham  Village- Occupancy Rates by Month</a:t>
            </a:r>
            <a:endParaRPr lang="en-US" sz="1200"/>
          </a:p>
          <a:p>
            <a:pPr>
              <a:defRPr/>
            </a:pPr>
            <a:r>
              <a:rPr lang="en-US" sz="1200" b="1" i="0" baseline="0"/>
              <a:t>(Q1 April- June 22/23)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Occupancy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</c:strCache>
            </c:strRef>
          </c:cat>
          <c:val>
            <c:numRef>
              <c:f>Sheet1!$B$2:$B$4</c:f>
              <c:numCache>
                <c:formatCode>0.0%</c:formatCode>
                <c:ptCount val="3"/>
                <c:pt idx="0">
                  <c:v>0.94</c:v>
                </c:pt>
                <c:pt idx="1">
                  <c:v>0.95499999999999996</c:v>
                </c:pt>
                <c:pt idx="2">
                  <c:v>0.95199999999999996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C1-4837-9E95-3E8641AEF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072448"/>
        <c:axId val="148927232"/>
      </c:barChart>
      <c:catAx>
        <c:axId val="142072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8927232"/>
        <c:crosses val="autoZero"/>
        <c:auto val="1"/>
        <c:lblAlgn val="ctr"/>
        <c:lblOffset val="100"/>
        <c:noMultiLvlLbl val="0"/>
      </c:catAx>
      <c:valAx>
        <c:axId val="148927232"/>
        <c:scaling>
          <c:orientation val="minMax"/>
          <c:max val="1"/>
          <c:min val="0.9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42072448"/>
        <c:crosses val="autoZero"/>
        <c:crossBetween val="between"/>
        <c:majorUnit val="5.0000000000000024E-2"/>
        <c:minorUnit val="4.0000000000000078E-4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 </a:t>
            </a:r>
            <a:r>
              <a:rPr lang="en-US" sz="1400" b="1" i="0" baseline="0">
                <a:effectLst/>
              </a:rPr>
              <a:t>Shoreham Village - </a:t>
            </a:r>
            <a:r>
              <a:rPr lang="en-US" sz="1400" b="1" i="0" u="none" strike="noStrike" baseline="0">
                <a:effectLst/>
              </a:rPr>
              <a:t>Number of Incidents</a:t>
            </a:r>
            <a:endParaRPr lang="en-US" b="1"/>
          </a:p>
        </c:rich>
      </c:tx>
      <c:layout>
        <c:manualLayout>
          <c:xMode val="edge"/>
          <c:yMode val="edge"/>
          <c:x val="0.28627604197877132"/>
          <c:y val="3.73482726423902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Q1 21/22</c:v>
                </c:pt>
              </c:strCache>
            </c:strRef>
          </c:tx>
          <c:spPr>
            <a:pattFill prst="pct60">
              <a:fgClr>
                <a:schemeClr val="tx2">
                  <a:lumMod val="75000"/>
                </a:schemeClr>
              </a:fgClr>
              <a:bgClr>
                <a:schemeClr val="bg1"/>
              </a:bgClr>
            </a:pattFill>
            <a:ln>
              <a:solidFill>
                <a:srgbClr val="0070C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Behaviours</c:v>
                </c:pt>
                <c:pt idx="1">
                  <c:v>Falls</c:v>
                </c:pt>
                <c:pt idx="2">
                  <c:v>Med Errors</c:v>
                </c:pt>
                <c:pt idx="3">
                  <c:v>Other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</c:v>
                </c:pt>
                <c:pt idx="1">
                  <c:v>50</c:v>
                </c:pt>
                <c:pt idx="2">
                  <c:v>16</c:v>
                </c:pt>
                <c:pt idx="3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66-4266-9D7B-F189F710A54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Q1 22/23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FF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Behaviours</c:v>
                </c:pt>
                <c:pt idx="1">
                  <c:v>Falls</c:v>
                </c:pt>
                <c:pt idx="2">
                  <c:v>Med Errors</c:v>
                </c:pt>
                <c:pt idx="3">
                  <c:v>Other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52</c:v>
                </c:pt>
                <c:pt idx="1">
                  <c:v>46</c:v>
                </c:pt>
                <c:pt idx="2">
                  <c:v>26</c:v>
                </c:pt>
                <c:pt idx="3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66-4266-9D7B-F189F710A54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Q2 22/23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Behaviours</c:v>
                </c:pt>
                <c:pt idx="1">
                  <c:v>Falls</c:v>
                </c:pt>
                <c:pt idx="2">
                  <c:v>Med Errors</c:v>
                </c:pt>
                <c:pt idx="3">
                  <c:v>Other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D166-4266-9D7B-F189F710A54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Q3 22/23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Behaviours</c:v>
                </c:pt>
                <c:pt idx="1">
                  <c:v>Falls</c:v>
                </c:pt>
                <c:pt idx="2">
                  <c:v>Med Errors</c:v>
                </c:pt>
                <c:pt idx="3">
                  <c:v>Other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D166-4266-9D7B-F189F710A54F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Q4 22/23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Behaviours</c:v>
                </c:pt>
                <c:pt idx="1">
                  <c:v>Falls</c:v>
                </c:pt>
                <c:pt idx="2">
                  <c:v>Med Errors</c:v>
                </c:pt>
                <c:pt idx="3">
                  <c:v>Other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D166-4266-9D7B-F189F710A5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196864"/>
        <c:axId val="157404544"/>
      </c:barChart>
      <c:catAx>
        <c:axId val="15619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404544"/>
        <c:crosses val="autoZero"/>
        <c:auto val="1"/>
        <c:lblAlgn val="ctr"/>
        <c:lblOffset val="100"/>
        <c:noMultiLvlLbl val="0"/>
      </c:catAx>
      <c:valAx>
        <c:axId val="157404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19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effectLst/>
              </a:rPr>
              <a:t>Shoreham Village - Resident Incident Rate per 1000 Bed Days 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Q1 21/22</c:v>
                </c:pt>
              </c:strCache>
            </c:strRef>
          </c:tx>
          <c:spPr>
            <a:pattFill prst="pct60">
              <a:fgClr>
                <a:schemeClr val="tx2">
                  <a:lumMod val="7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Responsive Behaviours</c:v>
                </c:pt>
                <c:pt idx="1">
                  <c:v>Falls</c:v>
                </c:pt>
                <c:pt idx="2">
                  <c:v>Medication Errors</c:v>
                </c:pt>
                <c:pt idx="3">
                  <c:v>Other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0.79</c:v>
                </c:pt>
                <c:pt idx="1">
                  <c:v>6.62</c:v>
                </c:pt>
                <c:pt idx="2">
                  <c:v>2.11</c:v>
                </c:pt>
                <c:pt idx="3">
                  <c:v>6.09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B4-47E4-865F-444A6FA4021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Q1 22/23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Responsive Behaviours</c:v>
                </c:pt>
                <c:pt idx="1">
                  <c:v>Falls</c:v>
                </c:pt>
                <c:pt idx="2">
                  <c:v>Medication Errors</c:v>
                </c:pt>
                <c:pt idx="3">
                  <c:v>Other</c:v>
                </c:pt>
              </c:strCache>
            </c:strRef>
          </c:cat>
          <c:val>
            <c:numRef>
              <c:f>Sheet1!$C$2:$C$5</c:f>
              <c:numCache>
                <c:formatCode>0.00</c:formatCode>
                <c:ptCount val="4"/>
                <c:pt idx="0">
                  <c:v>6.76</c:v>
                </c:pt>
                <c:pt idx="1">
                  <c:v>5.98</c:v>
                </c:pt>
                <c:pt idx="2">
                  <c:v>3.38</c:v>
                </c:pt>
                <c:pt idx="3">
                  <c:v>5.46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B4-47E4-865F-444A6FA4021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Q2 22/23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Responsive Behaviours</c:v>
                </c:pt>
                <c:pt idx="1">
                  <c:v>Falls</c:v>
                </c:pt>
                <c:pt idx="2">
                  <c:v>Medication Errors</c:v>
                </c:pt>
                <c:pt idx="3">
                  <c:v>Other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3B4-47E4-865F-444A6FA4021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Q3 22/23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Responsive Behaviours</c:v>
                </c:pt>
                <c:pt idx="1">
                  <c:v>Falls</c:v>
                </c:pt>
                <c:pt idx="2">
                  <c:v>Medication Errors</c:v>
                </c:pt>
                <c:pt idx="3">
                  <c:v>Other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93B4-47E4-865F-444A6FA40218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Q4 22/23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Responsive Behaviours</c:v>
                </c:pt>
                <c:pt idx="1">
                  <c:v>Falls</c:v>
                </c:pt>
                <c:pt idx="2">
                  <c:v>Medication Errors</c:v>
                </c:pt>
                <c:pt idx="3">
                  <c:v>Other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93B4-47E4-865F-444A6FA402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506624"/>
        <c:axId val="162508160"/>
      </c:barChart>
      <c:catAx>
        <c:axId val="16250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508160"/>
        <c:crosses val="autoZero"/>
        <c:auto val="1"/>
        <c:lblAlgn val="ctr"/>
        <c:lblOffset val="100"/>
        <c:noMultiLvlLbl val="0"/>
      </c:catAx>
      <c:valAx>
        <c:axId val="16250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506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Shoreham Village - </a:t>
            </a:r>
            <a:r>
              <a:rPr lang="en-US" sz="1200"/>
              <a:t>Resident</a:t>
            </a:r>
            <a:r>
              <a:rPr lang="en-US" sz="1200" baseline="0"/>
              <a:t> Infections </a:t>
            </a:r>
            <a:endParaRPr lang="en-US" sz="12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Q1 21/22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97-493A-AB68-FA8D0BB1A0B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Q1 22/23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97-493A-AB68-FA8D0BB1A0B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Q2 22/23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7397-493A-AB68-FA8D0BB1A0B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Q3 22/23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3-7397-493A-AB68-FA8D0BB1A0B0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Q4 22/23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4-7397-493A-AB68-FA8D0BB1A0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928512"/>
        <c:axId val="160930048"/>
      </c:barChart>
      <c:catAx>
        <c:axId val="1609285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0930048"/>
        <c:crosses val="autoZero"/>
        <c:auto val="1"/>
        <c:lblAlgn val="ctr"/>
        <c:lblOffset val="100"/>
        <c:noMultiLvlLbl val="0"/>
      </c:catAx>
      <c:valAx>
        <c:axId val="1609300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092851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Shoreham Village - </a:t>
            </a:r>
            <a:r>
              <a:rPr lang="en-US" sz="1200"/>
              <a:t>Infection Rate/</a:t>
            </a:r>
            <a:r>
              <a:rPr lang="en-US" sz="1200" baseline="0"/>
              <a:t>1000 Bed Days</a:t>
            </a:r>
            <a:endParaRPr lang="en-US" sz="1200"/>
          </a:p>
        </c:rich>
      </c:tx>
      <c:layout>
        <c:manualLayout>
          <c:xMode val="edge"/>
          <c:yMode val="edge"/>
          <c:x val="0.25243051349350559"/>
          <c:y val="3.732871190144294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Q1 21/22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0.26</c:v>
                </c:pt>
                <c:pt idx="1">
                  <c:v>0.92</c:v>
                </c:pt>
                <c:pt idx="2">
                  <c:v>0</c:v>
                </c:pt>
                <c:pt idx="3" formatCode="0.00">
                  <c:v>0</c:v>
                </c:pt>
                <c:pt idx="4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B5-4B78-A41C-AF04E04523D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Q1 22/23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0.13</c:v>
                </c:pt>
                <c:pt idx="1">
                  <c:v>1.04</c:v>
                </c:pt>
                <c:pt idx="2">
                  <c:v>0.13</c:v>
                </c:pt>
                <c:pt idx="3" formatCode="0.00">
                  <c:v>0</c:v>
                </c:pt>
                <c:pt idx="4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B5-4B78-A41C-AF04E04523D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Q2 22/23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E4B5-4B78-A41C-AF04E04523D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Q3 22/23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3-E4B5-4B78-A41C-AF04E04523D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Q4 22/23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4-E4B5-4B78-A41C-AF04E04523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337728"/>
        <c:axId val="161339264"/>
      </c:barChart>
      <c:catAx>
        <c:axId val="1613377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1339264"/>
        <c:crosses val="autoZero"/>
        <c:auto val="1"/>
        <c:lblAlgn val="ctr"/>
        <c:lblOffset val="100"/>
        <c:noMultiLvlLbl val="0"/>
      </c:catAx>
      <c:valAx>
        <c:axId val="1613392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133772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Shoreham Village - </a:t>
            </a:r>
            <a:r>
              <a:rPr lang="en-US" sz="1200"/>
              <a:t>Hand</a:t>
            </a:r>
            <a:r>
              <a:rPr lang="en-US" sz="1200" baseline="0"/>
              <a:t> Hygiene </a:t>
            </a:r>
            <a:endParaRPr lang="en-US" sz="12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Q1 21/22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Compliance Rate</c:v>
                </c:pt>
              </c:strCache>
            </c:strRef>
          </c:cat>
          <c:val>
            <c:numRef>
              <c:f>Sheet1!$B$2</c:f>
              <c:numCache>
                <c:formatCode>0.00%</c:formatCode>
                <c:ptCount val="1"/>
                <c:pt idx="0">
                  <c:v>0.94699999999999995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36-425A-AA76-FB48C433845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Q1 22/23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Compliance Rate</c:v>
                </c:pt>
              </c:strCache>
            </c:strRef>
          </c:cat>
          <c:val>
            <c:numRef>
              <c:f>Sheet1!$C$2</c:f>
              <c:numCache>
                <c:formatCode>0.00%</c:formatCode>
                <c:ptCount val="1"/>
                <c:pt idx="0">
                  <c:v>0.95299999999999996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36-425A-AA76-FB48C433845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Q2 22/23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Compliance Rate</c:v>
                </c:pt>
              </c:strCache>
            </c:strRef>
          </c:cat>
          <c:val>
            <c:numRef>
              <c:f>Sheet1!$D$2</c:f>
              <c:numCache>
                <c:formatCode>0.00%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FB36-425A-AA76-FB48C433845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Q3 22/23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Compliance Rate</c:v>
                </c:pt>
              </c:strCache>
            </c:strRef>
          </c:cat>
          <c:val>
            <c:numRef>
              <c:f>Sheet1!$E$2</c:f>
              <c:numCache>
                <c:formatCode>0.00%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3-FB36-425A-AA76-FB48C433845D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Q4 22/23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</c:f>
              <c:strCache>
                <c:ptCount val="1"/>
                <c:pt idx="0">
                  <c:v>Compliance Rate</c:v>
                </c:pt>
              </c:strCache>
            </c:strRef>
          </c:cat>
          <c:val>
            <c:numRef>
              <c:f>Sheet1!$F$2</c:f>
              <c:numCache>
                <c:formatCode>0.00%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4-FB36-425A-AA76-FB48C43384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559680"/>
        <c:axId val="161561216"/>
      </c:barChart>
      <c:catAx>
        <c:axId val="161559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1561216"/>
        <c:crosses val="autoZero"/>
        <c:auto val="1"/>
        <c:lblAlgn val="ctr"/>
        <c:lblOffset val="100"/>
        <c:noMultiLvlLbl val="0"/>
      </c:catAx>
      <c:valAx>
        <c:axId val="161561216"/>
        <c:scaling>
          <c:orientation val="minMax"/>
          <c:max val="1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161559680"/>
        <c:crosses val="autoZero"/>
        <c:crossBetween val="between"/>
        <c:majorUnit val="2.0000000000000011E-2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Shoreham Village</a:t>
            </a:r>
            <a:r>
              <a:rPr lang="en-US" sz="1400" baseline="0"/>
              <a:t> - </a:t>
            </a:r>
            <a:r>
              <a:rPr lang="en-US" sz="1400"/>
              <a:t>Volunteers Q1 April -</a:t>
            </a:r>
            <a:r>
              <a:rPr lang="en-US" sz="1400" baseline="0"/>
              <a:t> June 2022/23</a:t>
            </a:r>
            <a:r>
              <a:rPr lang="en-US" sz="1400"/>
              <a:t> 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4266841644794412E-2"/>
          <c:y val="0.14116907261592301"/>
          <c:w val="0.89019685039370144"/>
          <c:h val="0.592724190726158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Number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Sheet1!$A$2:$B$6</c:f>
              <c:strCache>
                <c:ptCount val="4"/>
                <c:pt idx="1">
                  <c:v>Active Volunteers</c:v>
                </c:pt>
                <c:pt idx="2">
                  <c:v>New Volunteers</c:v>
                </c:pt>
                <c:pt idx="3">
                  <c:v>Retired/Inactive Volunteers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1">
                  <c:v>146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E5-41C6-A099-3E8A7EB110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2444800"/>
        <c:axId val="162446336"/>
      </c:barChart>
      <c:catAx>
        <c:axId val="16244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446336"/>
        <c:crosses val="autoZero"/>
        <c:auto val="1"/>
        <c:lblAlgn val="ctr"/>
        <c:lblOffset val="100"/>
        <c:noMultiLvlLbl val="0"/>
      </c:catAx>
      <c:valAx>
        <c:axId val="162446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444800"/>
        <c:crosses val="autoZero"/>
        <c:crossBetween val="between"/>
        <c:majorUnit val="2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0AD75-3E04-44BB-8529-89953EA4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1617</Words>
  <Characters>9220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psargenthamer</dc:creator>
  <cp:lastModifiedBy>Tammy Leopold</cp:lastModifiedBy>
  <cp:revision>2</cp:revision>
  <cp:lastPrinted>2018-09-05T02:14:00Z</cp:lastPrinted>
  <dcterms:created xsi:type="dcterms:W3CDTF">2022-09-14T16:57:00Z</dcterms:created>
  <dcterms:modified xsi:type="dcterms:W3CDTF">2022-09-14T16:57:00Z</dcterms:modified>
</cp:coreProperties>
</file>