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81" w:rsidRDefault="00DE2A81" w:rsidP="00DE2A81">
      <w:pPr>
        <w:rPr>
          <w:rFonts w:ascii="Calibri" w:hAnsi="Calibri" w:cs="ArialNarrow"/>
          <w:b/>
        </w:rPr>
      </w:pPr>
      <w:bookmarkStart w:id="0" w:name="_GoBack"/>
      <w:bookmarkEnd w:id="0"/>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87268C" w:rsidP="0087268C">
      <w:pPr>
        <w:jc w:val="center"/>
        <w:rPr>
          <w:rFonts w:ascii="Calibri" w:hAnsi="Calibri" w:cs="ArialNarrow"/>
          <w:b/>
        </w:rPr>
      </w:pPr>
      <w:r>
        <w:rPr>
          <w:rFonts w:ascii="Calibri" w:hAnsi="Calibri" w:cs="ArialNarrow"/>
          <w:b/>
          <w:noProof/>
          <w:lang w:val="en-CA" w:eastAsia="en-CA"/>
        </w:rPr>
        <w:drawing>
          <wp:inline distT="0" distB="0" distL="0" distR="0">
            <wp:extent cx="4694555" cy="1798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4555" cy="1798320"/>
                    </a:xfrm>
                    <a:prstGeom prst="rect">
                      <a:avLst/>
                    </a:prstGeom>
                    <a:noFill/>
                  </pic:spPr>
                </pic:pic>
              </a:graphicData>
            </a:graphic>
          </wp:inline>
        </w:drawing>
      </w:r>
    </w:p>
    <w:p w:rsidR="00EF2C0A" w:rsidRDefault="00EF2C0A" w:rsidP="00DE2A81">
      <w:pPr>
        <w:rPr>
          <w:rFonts w:ascii="Calibri" w:hAnsi="Calibri" w:cs="ArialNarrow"/>
          <w:b/>
        </w:rPr>
      </w:pPr>
    </w:p>
    <w:p w:rsidR="004A63A6" w:rsidRDefault="004A63A6" w:rsidP="00DE2A81">
      <w:pPr>
        <w:rPr>
          <w:rFonts w:ascii="Calibri" w:hAnsi="Calibri" w:cs="ArialNarrow"/>
          <w:b/>
        </w:rPr>
      </w:pPr>
    </w:p>
    <w:p w:rsidR="004A63A6" w:rsidRDefault="004A63A6" w:rsidP="00DE2A81">
      <w:pPr>
        <w:rPr>
          <w:rFonts w:ascii="Calibri" w:hAnsi="Calibri" w:cs="ArialNarrow"/>
          <w:b/>
        </w:rPr>
      </w:pPr>
    </w:p>
    <w:p w:rsidR="004A63A6" w:rsidRDefault="004A63A6"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EF2C0A">
      <w:pPr>
        <w:jc w:val="center"/>
        <w:rPr>
          <w:rFonts w:ascii="Calibri" w:hAnsi="Calibri" w:cs="ArialNarrow"/>
          <w:b/>
          <w:sz w:val="48"/>
          <w:szCs w:val="48"/>
        </w:rPr>
      </w:pPr>
      <w:r>
        <w:rPr>
          <w:rFonts w:ascii="Calibri" w:hAnsi="Calibri" w:cs="ArialNarrow"/>
          <w:b/>
          <w:sz w:val="48"/>
          <w:szCs w:val="48"/>
        </w:rPr>
        <w:t>Shoreham Village</w:t>
      </w:r>
    </w:p>
    <w:p w:rsidR="00EF2C0A" w:rsidRDefault="00EF2C0A" w:rsidP="00EF2C0A">
      <w:pPr>
        <w:jc w:val="center"/>
        <w:rPr>
          <w:rFonts w:ascii="Calibri" w:hAnsi="Calibri" w:cs="ArialNarrow"/>
          <w:b/>
          <w:sz w:val="48"/>
          <w:szCs w:val="48"/>
        </w:rPr>
      </w:pPr>
      <w:r>
        <w:rPr>
          <w:rFonts w:ascii="Calibri" w:hAnsi="Calibri" w:cs="ArialNarrow"/>
          <w:b/>
          <w:sz w:val="48"/>
          <w:szCs w:val="48"/>
        </w:rPr>
        <w:t>Resident Care</w:t>
      </w:r>
    </w:p>
    <w:p w:rsidR="00EF2C0A" w:rsidRDefault="00EF2C0A" w:rsidP="00EF2C0A">
      <w:pPr>
        <w:jc w:val="center"/>
        <w:rPr>
          <w:rFonts w:ascii="Calibri" w:hAnsi="Calibri" w:cs="ArialNarrow"/>
          <w:b/>
          <w:sz w:val="48"/>
          <w:szCs w:val="48"/>
        </w:rPr>
      </w:pPr>
      <w:r>
        <w:rPr>
          <w:rFonts w:ascii="Calibri" w:hAnsi="Calibri" w:cs="ArialNarrow"/>
          <w:b/>
          <w:sz w:val="48"/>
          <w:szCs w:val="48"/>
        </w:rPr>
        <w:t>Scorecard</w:t>
      </w:r>
    </w:p>
    <w:p w:rsidR="00EF2C0A" w:rsidRDefault="00EF2C0A" w:rsidP="00EF2C0A">
      <w:pPr>
        <w:jc w:val="center"/>
        <w:rPr>
          <w:rFonts w:ascii="Calibri" w:hAnsi="Calibri" w:cs="ArialNarrow"/>
          <w:b/>
          <w:sz w:val="48"/>
          <w:szCs w:val="48"/>
        </w:rPr>
      </w:pPr>
    </w:p>
    <w:p w:rsidR="00EF2C0A" w:rsidRDefault="00336B28" w:rsidP="00EF2C0A">
      <w:pPr>
        <w:jc w:val="center"/>
        <w:rPr>
          <w:rFonts w:ascii="Calibri" w:hAnsi="Calibri" w:cs="ArialNarrow"/>
          <w:b/>
          <w:sz w:val="48"/>
          <w:szCs w:val="48"/>
        </w:rPr>
      </w:pPr>
      <w:r>
        <w:rPr>
          <w:rFonts w:ascii="Calibri" w:hAnsi="Calibri" w:cs="ArialNarrow"/>
          <w:b/>
          <w:sz w:val="48"/>
          <w:szCs w:val="48"/>
        </w:rPr>
        <w:t>4th</w:t>
      </w:r>
      <w:r w:rsidR="00D77584">
        <w:rPr>
          <w:rFonts w:ascii="Calibri" w:hAnsi="Calibri" w:cs="ArialNarrow"/>
          <w:b/>
          <w:sz w:val="48"/>
          <w:szCs w:val="48"/>
        </w:rPr>
        <w:t xml:space="preserve"> Quarter 202</w:t>
      </w:r>
      <w:r w:rsidR="00B2304E">
        <w:rPr>
          <w:rFonts w:ascii="Calibri" w:hAnsi="Calibri" w:cs="ArialNarrow"/>
          <w:b/>
          <w:sz w:val="48"/>
          <w:szCs w:val="48"/>
        </w:rPr>
        <w:t>2</w:t>
      </w:r>
      <w:r w:rsidR="00D77584">
        <w:rPr>
          <w:rFonts w:ascii="Calibri" w:hAnsi="Calibri" w:cs="ArialNarrow"/>
          <w:b/>
          <w:sz w:val="48"/>
          <w:szCs w:val="48"/>
        </w:rPr>
        <w:t>/2</w:t>
      </w:r>
      <w:r w:rsidR="00B2304E">
        <w:rPr>
          <w:rFonts w:ascii="Calibri" w:hAnsi="Calibri" w:cs="ArialNarrow"/>
          <w:b/>
          <w:sz w:val="48"/>
          <w:szCs w:val="48"/>
        </w:rPr>
        <w:t>3</w:t>
      </w:r>
      <w:r>
        <w:rPr>
          <w:rFonts w:ascii="Calibri" w:hAnsi="Calibri" w:cs="ArialNarrow"/>
          <w:b/>
          <w:sz w:val="48"/>
          <w:szCs w:val="48"/>
        </w:rPr>
        <w:t xml:space="preserve"> &amp;</w:t>
      </w:r>
    </w:p>
    <w:p w:rsidR="00336B28" w:rsidRDefault="00336B28" w:rsidP="00EF2C0A">
      <w:pPr>
        <w:jc w:val="center"/>
        <w:rPr>
          <w:rFonts w:ascii="Calibri" w:hAnsi="Calibri" w:cs="ArialNarrow"/>
          <w:b/>
          <w:sz w:val="48"/>
          <w:szCs w:val="48"/>
        </w:rPr>
      </w:pPr>
      <w:r>
        <w:rPr>
          <w:rFonts w:ascii="Calibri" w:hAnsi="Calibri" w:cs="ArialNarrow"/>
          <w:b/>
          <w:sz w:val="48"/>
          <w:szCs w:val="48"/>
        </w:rPr>
        <w:t>Annual Report</w:t>
      </w:r>
    </w:p>
    <w:p w:rsidR="00EF2C0A" w:rsidRDefault="00EF2C0A" w:rsidP="00DE2A81">
      <w:pPr>
        <w:rPr>
          <w:rFonts w:ascii="Calibri" w:hAnsi="Calibri" w:cs="ArialNarrow"/>
          <w:b/>
          <w:sz w:val="48"/>
          <w:szCs w:val="48"/>
        </w:rPr>
      </w:pPr>
    </w:p>
    <w:p w:rsidR="005B5C4A" w:rsidRPr="00EF2C0A" w:rsidRDefault="005B5C4A" w:rsidP="00DE2A81">
      <w:pPr>
        <w:rPr>
          <w:rFonts w:ascii="Calibri" w:hAnsi="Calibri" w:cs="ArialNarrow"/>
          <w:b/>
          <w:sz w:val="48"/>
          <w:szCs w:val="48"/>
        </w:rPr>
      </w:pPr>
    </w:p>
    <w:p w:rsidR="00EF2C0A" w:rsidRDefault="00EF2C0A" w:rsidP="00DE2A81">
      <w:pPr>
        <w:rPr>
          <w:rFonts w:ascii="Calibri" w:hAnsi="Calibri" w:cs="ArialNarrow"/>
          <w:b/>
        </w:rPr>
      </w:pPr>
    </w:p>
    <w:tbl>
      <w:tblPr>
        <w:tblW w:w="1120" w:type="dxa"/>
        <w:tblLook w:val="05A0" w:firstRow="1" w:lastRow="0" w:firstColumn="1" w:lastColumn="1" w:noHBand="0" w:noVBand="1"/>
      </w:tblPr>
      <w:tblGrid>
        <w:gridCol w:w="1120"/>
      </w:tblGrid>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bl>
    <w:p w:rsidR="00EF2C0A" w:rsidRDefault="00EF2C0A" w:rsidP="00DE2A81">
      <w:pPr>
        <w:rPr>
          <w:rFonts w:ascii="Calibri" w:hAnsi="Calibri" w:cs="ArialNarrow"/>
          <w:b/>
        </w:rPr>
      </w:pPr>
    </w:p>
    <w:p w:rsidR="00EF2C0A" w:rsidRPr="00CF1910" w:rsidRDefault="00EF2C0A" w:rsidP="00EF2C0A">
      <w:pPr>
        <w:pStyle w:val="ListParagraph"/>
        <w:numPr>
          <w:ilvl w:val="0"/>
          <w:numId w:val="4"/>
        </w:numPr>
        <w:rPr>
          <w:rFonts w:ascii="Calibri" w:hAnsi="Calibri" w:cs="ArialNarrow"/>
          <w:sz w:val="32"/>
          <w:szCs w:val="32"/>
        </w:rPr>
      </w:pPr>
      <w:r w:rsidRPr="00CF1910">
        <w:rPr>
          <w:rFonts w:ascii="Calibri" w:hAnsi="Calibri" w:cs="ArialNarrow"/>
          <w:sz w:val="32"/>
          <w:szCs w:val="32"/>
        </w:rPr>
        <w:t>Occupancy Rate</w:t>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CF1910"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t>2</w:t>
      </w:r>
    </w:p>
    <w:p w:rsidR="00EF2C0A" w:rsidRPr="00CF1910" w:rsidRDefault="00EF2C0A" w:rsidP="00EF2C0A">
      <w:pPr>
        <w:pStyle w:val="ListParagraph"/>
        <w:numPr>
          <w:ilvl w:val="0"/>
          <w:numId w:val="4"/>
        </w:numPr>
        <w:rPr>
          <w:rFonts w:ascii="Calibri" w:hAnsi="Calibri" w:cs="ArialNarrow"/>
          <w:sz w:val="32"/>
          <w:szCs w:val="32"/>
        </w:rPr>
      </w:pPr>
      <w:r w:rsidRPr="00CF1910">
        <w:rPr>
          <w:rFonts w:ascii="Calibri" w:hAnsi="Calibri" w:cs="ArialNarrow"/>
          <w:sz w:val="32"/>
          <w:szCs w:val="32"/>
        </w:rPr>
        <w:t>Incident Rate</w:t>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t>4</w:t>
      </w:r>
    </w:p>
    <w:p w:rsidR="00EF2C0A" w:rsidRPr="00CF1910" w:rsidRDefault="00EF2C0A" w:rsidP="00EF2C0A">
      <w:pPr>
        <w:pStyle w:val="ListParagraph"/>
        <w:numPr>
          <w:ilvl w:val="0"/>
          <w:numId w:val="4"/>
        </w:numPr>
        <w:rPr>
          <w:rFonts w:ascii="Calibri" w:hAnsi="Calibri" w:cs="ArialNarrow"/>
          <w:sz w:val="32"/>
          <w:szCs w:val="32"/>
        </w:rPr>
      </w:pPr>
      <w:r w:rsidRPr="00CF1910">
        <w:rPr>
          <w:rFonts w:ascii="Calibri" w:hAnsi="Calibri" w:cs="ArialNarrow"/>
          <w:sz w:val="32"/>
          <w:szCs w:val="32"/>
        </w:rPr>
        <w:t>Infection Rate</w:t>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8B127B">
        <w:rPr>
          <w:rFonts w:ascii="Calibri" w:hAnsi="Calibri" w:cs="ArialNarrow"/>
          <w:sz w:val="32"/>
          <w:szCs w:val="32"/>
        </w:rPr>
        <w:t>7</w:t>
      </w:r>
    </w:p>
    <w:p w:rsidR="008B127B" w:rsidRDefault="008B127B" w:rsidP="00EF2C0A">
      <w:pPr>
        <w:pStyle w:val="ListParagraph"/>
        <w:numPr>
          <w:ilvl w:val="0"/>
          <w:numId w:val="4"/>
        </w:numPr>
        <w:rPr>
          <w:rFonts w:ascii="Calibri" w:hAnsi="Calibri" w:cs="ArialNarrow"/>
          <w:sz w:val="32"/>
          <w:szCs w:val="32"/>
        </w:rPr>
      </w:pPr>
      <w:r>
        <w:rPr>
          <w:rFonts w:ascii="Calibri" w:hAnsi="Calibri" w:cs="ArialNarrow"/>
          <w:sz w:val="32"/>
          <w:szCs w:val="32"/>
        </w:rPr>
        <w:t>Pressure Injury Summary</w:t>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t>9</w:t>
      </w:r>
    </w:p>
    <w:p w:rsidR="00EF2C0A" w:rsidRDefault="00EF2C0A" w:rsidP="00EF2C0A">
      <w:pPr>
        <w:pStyle w:val="ListParagraph"/>
        <w:numPr>
          <w:ilvl w:val="0"/>
          <w:numId w:val="4"/>
        </w:numPr>
        <w:rPr>
          <w:rFonts w:ascii="Calibri" w:hAnsi="Calibri" w:cs="ArialNarrow"/>
          <w:sz w:val="32"/>
          <w:szCs w:val="32"/>
        </w:rPr>
      </w:pPr>
      <w:r w:rsidRPr="00CF1910">
        <w:rPr>
          <w:rFonts w:ascii="Calibri" w:hAnsi="Calibri" w:cs="ArialNarrow"/>
          <w:sz w:val="32"/>
          <w:szCs w:val="32"/>
        </w:rPr>
        <w:t>Hand Hygiene Rate</w:t>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8B127B">
        <w:rPr>
          <w:rFonts w:ascii="Calibri" w:hAnsi="Calibri" w:cs="ArialNarrow"/>
          <w:sz w:val="32"/>
          <w:szCs w:val="32"/>
        </w:rPr>
        <w:t>10</w:t>
      </w:r>
    </w:p>
    <w:p w:rsidR="009B2164" w:rsidRPr="00CF1910" w:rsidRDefault="009B2164" w:rsidP="00EF2C0A">
      <w:pPr>
        <w:pStyle w:val="ListParagraph"/>
        <w:numPr>
          <w:ilvl w:val="0"/>
          <w:numId w:val="4"/>
        </w:numPr>
        <w:rPr>
          <w:rFonts w:ascii="Calibri" w:hAnsi="Calibri" w:cs="ArialNarrow"/>
          <w:sz w:val="32"/>
          <w:szCs w:val="32"/>
        </w:rPr>
      </w:pPr>
      <w:r>
        <w:rPr>
          <w:rFonts w:ascii="Calibri" w:hAnsi="Calibri" w:cs="ArialNarrow"/>
          <w:sz w:val="32"/>
          <w:szCs w:val="32"/>
        </w:rPr>
        <w:t>Volunteer Rates</w:t>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sidR="008B127B">
        <w:rPr>
          <w:rFonts w:ascii="Calibri" w:hAnsi="Calibri" w:cs="ArialNarrow"/>
          <w:sz w:val="32"/>
          <w:szCs w:val="32"/>
        </w:rPr>
        <w:t>11</w:t>
      </w:r>
    </w:p>
    <w:p w:rsidR="00EF2C0A" w:rsidRPr="00CF1910" w:rsidRDefault="00EF2C0A" w:rsidP="00DE2A81">
      <w:pPr>
        <w:rPr>
          <w:rFonts w:ascii="Calibri" w:hAnsi="Calibri" w:cs="ArialNarrow"/>
        </w:rPr>
      </w:pPr>
    </w:p>
    <w:p w:rsidR="00EF2C0A" w:rsidRPr="00CF1910" w:rsidRDefault="00EF2C0A" w:rsidP="00DE2A81">
      <w:pPr>
        <w:rPr>
          <w:rFonts w:ascii="Calibri" w:hAnsi="Calibri" w:cs="ArialNarrow"/>
        </w:rPr>
      </w:pPr>
    </w:p>
    <w:p w:rsidR="00EF2C0A" w:rsidRPr="00CF1910" w:rsidRDefault="00EF2C0A" w:rsidP="00DE2A81">
      <w:pPr>
        <w:rPr>
          <w:rFonts w:ascii="Calibri" w:hAnsi="Calibri" w:cs="ArialNarrow"/>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5B5C4A" w:rsidRDefault="005B5C4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2958B0" w:rsidP="002958B0">
      <w:pPr>
        <w:tabs>
          <w:tab w:val="left" w:pos="6252"/>
        </w:tabs>
        <w:rPr>
          <w:rFonts w:ascii="Calibri" w:hAnsi="Calibri" w:cs="ArialNarrow"/>
          <w:b/>
        </w:rPr>
      </w:pPr>
      <w:r>
        <w:rPr>
          <w:rFonts w:ascii="Calibri" w:hAnsi="Calibri" w:cs="ArialNarrow"/>
          <w:b/>
        </w:rPr>
        <w:tab/>
      </w: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7D2620" w:rsidRDefault="007D2620"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A61FAD" w:rsidRDefault="00A61FAD" w:rsidP="00DE2A81">
      <w:pPr>
        <w:rPr>
          <w:rFonts w:ascii="Calibri" w:hAnsi="Calibri" w:cs="ArialNarrow"/>
          <w:b/>
        </w:rPr>
      </w:pPr>
    </w:p>
    <w:p w:rsidR="00EF2C0A" w:rsidRDefault="00EF2C0A" w:rsidP="00DE2A81">
      <w:pPr>
        <w:rPr>
          <w:rFonts w:ascii="Calibri" w:hAnsi="Calibri" w:cs="ArialNarrow"/>
          <w:b/>
        </w:rPr>
      </w:pPr>
    </w:p>
    <w:p w:rsidR="007D2620" w:rsidRDefault="007D2620" w:rsidP="00DE2A81">
      <w:pPr>
        <w:rPr>
          <w:rFonts w:ascii="Calibri" w:hAnsi="Calibri" w:cs="ArialNarrow"/>
          <w:b/>
        </w:rPr>
      </w:pPr>
    </w:p>
    <w:p w:rsidR="00BE065B" w:rsidRDefault="007C02F8" w:rsidP="00BE065B">
      <w:pPr>
        <w:pStyle w:val="Heading1"/>
      </w:pPr>
      <w:r>
        <w:t>1.0</w:t>
      </w:r>
      <w:r>
        <w:tab/>
      </w:r>
      <w:r w:rsidR="00BE065B">
        <w:t>Shoreham Village Occupancy Rate Q</w:t>
      </w:r>
      <w:r w:rsidR="00336B28">
        <w:t>4</w:t>
      </w:r>
      <w:r w:rsidR="00BE065B">
        <w:t xml:space="preserve"> </w:t>
      </w:r>
      <w:r w:rsidR="00336B28">
        <w:t>Jan</w:t>
      </w:r>
      <w:r w:rsidR="00C82E0F">
        <w:t xml:space="preserve"> </w:t>
      </w:r>
      <w:r w:rsidR="00001E76">
        <w:t xml:space="preserve">- </w:t>
      </w:r>
      <w:r w:rsidR="00336B28">
        <w:t>March</w:t>
      </w:r>
      <w:r w:rsidR="002A3CF7">
        <w:t xml:space="preserve"> 202</w:t>
      </w:r>
      <w:r w:rsidR="00260D86">
        <w:t>2/23</w:t>
      </w:r>
      <w:r w:rsidR="008B5A9E">
        <w:t xml:space="preserve"> </w:t>
      </w:r>
    </w:p>
    <w:p w:rsidR="00BE065B" w:rsidRDefault="00BE065B" w:rsidP="00BE065B">
      <w:pPr>
        <w:rPr>
          <w:rFonts w:ascii="Calibri" w:hAnsi="Calibri" w:cs="ArialNarrow"/>
          <w:b/>
        </w:rPr>
      </w:pPr>
    </w:p>
    <w:p w:rsidR="00BE065B" w:rsidRDefault="00BE065B" w:rsidP="00881F7F">
      <w:pPr>
        <w:pStyle w:val="Heading1"/>
      </w:pPr>
      <w:r w:rsidRPr="00AE20EC">
        <w:t xml:space="preserve">The Average Occupancy Rate for the </w:t>
      </w:r>
      <w:r w:rsidR="00FE6473">
        <w:t>Q</w:t>
      </w:r>
      <w:r w:rsidR="00336B28">
        <w:t>4</w:t>
      </w:r>
      <w:r w:rsidR="00EF7D9B">
        <w:t xml:space="preserve"> </w:t>
      </w:r>
      <w:r w:rsidR="00336B28">
        <w:t>Jan - March</w:t>
      </w:r>
      <w:r w:rsidR="002A3CF7">
        <w:t xml:space="preserve"> 202</w:t>
      </w:r>
      <w:r w:rsidR="00260D86">
        <w:t>2</w:t>
      </w:r>
      <w:r w:rsidR="002A3CF7">
        <w:t>/2</w:t>
      </w:r>
      <w:r w:rsidR="00260D86">
        <w:t>3</w:t>
      </w:r>
      <w:r w:rsidR="00FE6473">
        <w:t xml:space="preserve"> </w:t>
      </w:r>
      <w:r w:rsidRPr="00AE20EC">
        <w:t xml:space="preserve">– </w:t>
      </w:r>
      <w:r w:rsidR="00F665B6">
        <w:t>98.7</w:t>
      </w:r>
      <w:r w:rsidR="0087268C">
        <w:t>%</w:t>
      </w:r>
      <w:r w:rsidR="00881F7F">
        <w:t xml:space="preserve"> (average </w:t>
      </w:r>
      <w:r w:rsidR="00F665B6">
        <w:t xml:space="preserve">1.2 </w:t>
      </w:r>
      <w:r w:rsidR="00001E76">
        <w:t>vacant beds per day)</w:t>
      </w:r>
      <w:r w:rsidR="00EF3F41">
        <w:t>.</w:t>
      </w:r>
    </w:p>
    <w:p w:rsidR="00BE065B" w:rsidRDefault="00BE065B" w:rsidP="000260BD">
      <w:pPr>
        <w:rPr>
          <w:rFonts w:ascii="Calibri" w:hAnsi="Calibri" w:cs="ArialNarrow"/>
        </w:rPr>
      </w:pPr>
    </w:p>
    <w:p w:rsidR="00BE065B" w:rsidRDefault="00BE065B" w:rsidP="000260BD">
      <w:pPr>
        <w:rPr>
          <w:rFonts w:ascii="Calibri" w:hAnsi="Calibri" w:cs="ArialNarrow"/>
        </w:rPr>
      </w:pPr>
      <w:r w:rsidRPr="000D12E5">
        <w:rPr>
          <w:rFonts w:ascii="Calibri" w:hAnsi="Calibri" w:cs="ArialNarrow"/>
          <w:noProof/>
          <w:bdr w:val="single" w:sz="6" w:space="0" w:color="auto"/>
          <w:lang w:val="en-CA" w:eastAsia="en-CA"/>
        </w:rPr>
        <w:drawing>
          <wp:inline distT="0" distB="0" distL="0" distR="0">
            <wp:extent cx="6126480" cy="3257550"/>
            <wp:effectExtent l="0" t="0" r="762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065B" w:rsidRDefault="00BE065B" w:rsidP="000260BD">
      <w:pPr>
        <w:rPr>
          <w:rFonts w:ascii="Calibri" w:hAnsi="Calibri" w:cs="ArialNarrow"/>
        </w:rPr>
      </w:pPr>
    </w:p>
    <w:p w:rsidR="006A2058" w:rsidRDefault="006A2058" w:rsidP="000260BD">
      <w:pPr>
        <w:rPr>
          <w:rFonts w:ascii="Calibri" w:hAnsi="Calibri" w:cs="ArialNarrow"/>
        </w:rPr>
      </w:pPr>
      <w:r w:rsidRPr="004C2D51">
        <w:rPr>
          <w:rFonts w:ascii="Calibri" w:hAnsi="Calibri" w:cs="ArialNarrow"/>
          <w:noProof/>
          <w:bdr w:val="single" w:sz="4" w:space="0" w:color="auto"/>
          <w:lang w:val="en-CA" w:eastAsia="en-CA"/>
        </w:rPr>
        <w:drawing>
          <wp:inline distT="0" distB="0" distL="0" distR="0">
            <wp:extent cx="6126480" cy="3267075"/>
            <wp:effectExtent l="0" t="0" r="762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D2620" w:rsidRDefault="007D2620" w:rsidP="000260BD">
      <w:pPr>
        <w:rPr>
          <w:rFonts w:ascii="Calibri" w:hAnsi="Calibri" w:cs="ArialNarrow"/>
          <w:b/>
        </w:rPr>
      </w:pPr>
    </w:p>
    <w:p w:rsidR="000A4A87" w:rsidRDefault="000A4A87" w:rsidP="000260BD">
      <w:pPr>
        <w:rPr>
          <w:rFonts w:ascii="Calibri" w:hAnsi="Calibri" w:cs="ArialNarrow"/>
          <w:b/>
        </w:rPr>
      </w:pPr>
    </w:p>
    <w:p w:rsidR="003E57E2" w:rsidRDefault="003E57E2" w:rsidP="000260BD">
      <w:pPr>
        <w:rPr>
          <w:rFonts w:ascii="Calibri" w:hAnsi="Calibri" w:cs="ArialNarrow"/>
          <w:b/>
        </w:rPr>
      </w:pPr>
    </w:p>
    <w:p w:rsidR="003E57E2" w:rsidRDefault="003E57E2" w:rsidP="000260BD">
      <w:pPr>
        <w:rPr>
          <w:rFonts w:ascii="Calibri" w:hAnsi="Calibri" w:cs="ArialNarrow"/>
          <w:b/>
        </w:rPr>
      </w:pPr>
    </w:p>
    <w:p w:rsidR="000260BD" w:rsidRPr="00C62BFD" w:rsidRDefault="000260BD" w:rsidP="000260BD">
      <w:pPr>
        <w:rPr>
          <w:rFonts w:ascii="Calibri" w:hAnsi="Calibri" w:cs="ArialNarrow"/>
          <w:b/>
        </w:rPr>
      </w:pPr>
      <w:r w:rsidRPr="00C62BFD">
        <w:rPr>
          <w:rFonts w:ascii="Calibri" w:hAnsi="Calibri" w:cs="ArialNarrow"/>
          <w:b/>
        </w:rPr>
        <w:t>Comments:</w:t>
      </w:r>
    </w:p>
    <w:p w:rsidR="006F314C" w:rsidRDefault="006F314C" w:rsidP="000260BD">
      <w:pPr>
        <w:rPr>
          <w:rFonts w:ascii="Calibri" w:hAnsi="Calibri" w:cs="ArialNarrow"/>
        </w:rPr>
      </w:pPr>
    </w:p>
    <w:p w:rsidR="007A7E7D" w:rsidRDefault="00CF4AE4" w:rsidP="00CF4AE4">
      <w:pPr>
        <w:rPr>
          <w:rFonts w:ascii="Calibri" w:hAnsi="Calibri" w:cs="ArialNarrow"/>
        </w:rPr>
      </w:pPr>
      <w:r>
        <w:rPr>
          <w:rFonts w:ascii="Calibri" w:hAnsi="Calibri" w:cs="ArialNarrow"/>
        </w:rPr>
        <w:t xml:space="preserve">The </w:t>
      </w:r>
      <w:r w:rsidR="00753279">
        <w:rPr>
          <w:rFonts w:ascii="Calibri" w:hAnsi="Calibri" w:cs="ArialNarrow"/>
        </w:rPr>
        <w:t>DSLTC</w:t>
      </w:r>
      <w:r w:rsidR="00F048BA">
        <w:rPr>
          <w:rFonts w:ascii="Calibri" w:hAnsi="Calibri" w:cs="ArialNarrow"/>
        </w:rPr>
        <w:t xml:space="preserve"> target </w:t>
      </w:r>
      <w:r>
        <w:rPr>
          <w:rFonts w:ascii="Calibri" w:hAnsi="Calibri" w:cs="ArialNarrow"/>
        </w:rPr>
        <w:t xml:space="preserve">occupancy rate </w:t>
      </w:r>
      <w:r w:rsidR="001D0D53">
        <w:rPr>
          <w:rFonts w:ascii="Calibri" w:hAnsi="Calibri" w:cs="ArialNarrow"/>
        </w:rPr>
        <w:t xml:space="preserve">for budgeting </w:t>
      </w:r>
      <w:r>
        <w:rPr>
          <w:rFonts w:ascii="Calibri" w:hAnsi="Calibri" w:cs="ArialNarrow"/>
        </w:rPr>
        <w:t>i</w:t>
      </w:r>
      <w:r w:rsidR="00F048BA">
        <w:rPr>
          <w:rFonts w:ascii="Calibri" w:hAnsi="Calibri" w:cs="ArialNarrow"/>
        </w:rPr>
        <w:t>s 99.2%</w:t>
      </w:r>
      <w:r w:rsidR="001D0D53">
        <w:rPr>
          <w:rFonts w:ascii="Calibri" w:hAnsi="Calibri" w:cs="ArialNarrow"/>
        </w:rPr>
        <w:t>. F</w:t>
      </w:r>
      <w:r w:rsidR="00F048BA">
        <w:rPr>
          <w:rFonts w:ascii="Calibri" w:hAnsi="Calibri" w:cs="ArialNarrow"/>
        </w:rPr>
        <w:t xml:space="preserve">or Shoreham Village </w:t>
      </w:r>
      <w:r w:rsidR="001D0D53">
        <w:rPr>
          <w:rFonts w:ascii="Calibri" w:hAnsi="Calibri" w:cs="ArialNarrow"/>
        </w:rPr>
        <w:t xml:space="preserve">this </w:t>
      </w:r>
      <w:r w:rsidR="00F048BA">
        <w:rPr>
          <w:rFonts w:ascii="Calibri" w:hAnsi="Calibri" w:cs="ArialNarrow"/>
        </w:rPr>
        <w:t xml:space="preserve">equates to an average of .7 vacant beds per day.  </w:t>
      </w:r>
    </w:p>
    <w:p w:rsidR="007A7E7D" w:rsidRDefault="007A7E7D" w:rsidP="00CF4AE4">
      <w:pPr>
        <w:rPr>
          <w:rFonts w:ascii="Calibri" w:hAnsi="Calibri" w:cs="ArialNarrow"/>
        </w:rPr>
      </w:pPr>
    </w:p>
    <w:p w:rsidR="009848F5" w:rsidRDefault="00AF1549" w:rsidP="00CF4AE4">
      <w:pPr>
        <w:rPr>
          <w:rFonts w:ascii="Calibri" w:hAnsi="Calibri" w:cs="ArialNarrow"/>
        </w:rPr>
      </w:pPr>
      <w:r>
        <w:rPr>
          <w:rFonts w:ascii="Calibri" w:hAnsi="Calibri" w:cs="ArialNarrow"/>
        </w:rPr>
        <w:t>The annual oc</w:t>
      </w:r>
      <w:r w:rsidR="005F5335">
        <w:rPr>
          <w:rFonts w:ascii="Calibri" w:hAnsi="Calibri" w:cs="ArialNarrow"/>
        </w:rPr>
        <w:t>cupancy rate for 2022-23 was 96.9% which is an improvement when compared with 2021/22 which was 93.4</w:t>
      </w:r>
      <w:r>
        <w:rPr>
          <w:rFonts w:ascii="Calibri" w:hAnsi="Calibri" w:cs="ArialNarrow"/>
        </w:rPr>
        <w:t xml:space="preserve">%. </w:t>
      </w:r>
      <w:r w:rsidR="001D0D53">
        <w:rPr>
          <w:rFonts w:ascii="Calibri" w:hAnsi="Calibri" w:cs="ArialNarrow"/>
        </w:rPr>
        <w:t>This</w:t>
      </w:r>
      <w:r w:rsidR="00F048BA">
        <w:rPr>
          <w:rFonts w:ascii="Calibri" w:hAnsi="Calibri" w:cs="ArialNarrow"/>
        </w:rPr>
        <w:t xml:space="preserve"> quarter</w:t>
      </w:r>
      <w:r w:rsidR="007E6268">
        <w:rPr>
          <w:rFonts w:ascii="Calibri" w:hAnsi="Calibri" w:cs="ArialNarrow"/>
        </w:rPr>
        <w:t xml:space="preserve"> the</w:t>
      </w:r>
      <w:r w:rsidR="00F048BA">
        <w:rPr>
          <w:rFonts w:ascii="Calibri" w:hAnsi="Calibri" w:cs="ArialNarrow"/>
        </w:rPr>
        <w:t xml:space="preserve"> occupancy rate was </w:t>
      </w:r>
      <w:r w:rsidR="00ED6671">
        <w:rPr>
          <w:rFonts w:ascii="Calibri" w:hAnsi="Calibri" w:cs="ArialNarrow"/>
        </w:rPr>
        <w:t>9</w:t>
      </w:r>
      <w:r w:rsidR="005F5335">
        <w:rPr>
          <w:rFonts w:ascii="Calibri" w:hAnsi="Calibri" w:cs="ArialNarrow"/>
        </w:rPr>
        <w:t>8.7</w:t>
      </w:r>
      <w:r w:rsidR="00ED6671">
        <w:rPr>
          <w:rFonts w:ascii="Calibri" w:hAnsi="Calibri" w:cs="ArialNarrow"/>
        </w:rPr>
        <w:t>% (</w:t>
      </w:r>
      <w:r w:rsidR="005F5335">
        <w:rPr>
          <w:rFonts w:ascii="Calibri" w:hAnsi="Calibri" w:cs="ArialNarrow"/>
        </w:rPr>
        <w:t>1.2</w:t>
      </w:r>
      <w:r w:rsidR="002622EC">
        <w:rPr>
          <w:rFonts w:ascii="Calibri" w:hAnsi="Calibri" w:cs="ArialNarrow"/>
        </w:rPr>
        <w:t xml:space="preserve"> </w:t>
      </w:r>
      <w:r w:rsidR="00DE1D97">
        <w:rPr>
          <w:rFonts w:ascii="Calibri" w:hAnsi="Calibri" w:cs="ArialNarrow"/>
        </w:rPr>
        <w:t>average vacant beds per day)</w:t>
      </w:r>
      <w:r w:rsidR="00F048BA">
        <w:rPr>
          <w:rFonts w:ascii="Calibri" w:hAnsi="Calibri" w:cs="ArialNarrow"/>
        </w:rPr>
        <w:t xml:space="preserve">.  The </w:t>
      </w:r>
      <w:r w:rsidR="00C441E0">
        <w:rPr>
          <w:rFonts w:ascii="Calibri" w:hAnsi="Calibri" w:cs="ArialNarrow"/>
        </w:rPr>
        <w:t xml:space="preserve">rate </w:t>
      </w:r>
      <w:r>
        <w:rPr>
          <w:rFonts w:ascii="Calibri" w:hAnsi="Calibri" w:cs="ArialNarrow"/>
        </w:rPr>
        <w:t>h</w:t>
      </w:r>
      <w:r w:rsidR="00C441E0">
        <w:rPr>
          <w:rFonts w:ascii="Calibri" w:hAnsi="Calibri" w:cs="ArialNarrow"/>
        </w:rPr>
        <w:t>as</w:t>
      </w:r>
      <w:r w:rsidR="000A4A87">
        <w:rPr>
          <w:rFonts w:ascii="Calibri" w:hAnsi="Calibri" w:cs="ArialNarrow"/>
        </w:rPr>
        <w:t xml:space="preserve"> </w:t>
      </w:r>
      <w:r w:rsidR="005F5335">
        <w:rPr>
          <w:rFonts w:ascii="Calibri" w:hAnsi="Calibri" w:cs="ArialNarrow"/>
        </w:rPr>
        <w:t>slightly increased</w:t>
      </w:r>
      <w:r w:rsidR="001121A0">
        <w:rPr>
          <w:rFonts w:ascii="Calibri" w:hAnsi="Calibri" w:cs="ArialNarrow"/>
        </w:rPr>
        <w:t xml:space="preserve"> over t</w:t>
      </w:r>
      <w:r w:rsidR="00C441E0">
        <w:rPr>
          <w:rFonts w:ascii="Calibri" w:hAnsi="Calibri" w:cs="ArialNarrow"/>
        </w:rPr>
        <w:t>he 3rd</w:t>
      </w:r>
      <w:r w:rsidR="0077397D">
        <w:rPr>
          <w:rFonts w:ascii="Calibri" w:hAnsi="Calibri" w:cs="ArialNarrow"/>
        </w:rPr>
        <w:t xml:space="preserve"> </w:t>
      </w:r>
      <w:r w:rsidR="00ED6671">
        <w:rPr>
          <w:rFonts w:ascii="Calibri" w:hAnsi="Calibri" w:cs="ArialNarrow"/>
        </w:rPr>
        <w:t>quarter of 20</w:t>
      </w:r>
      <w:r w:rsidR="005F5335">
        <w:rPr>
          <w:rFonts w:ascii="Calibri" w:hAnsi="Calibri" w:cs="ArialNarrow"/>
        </w:rPr>
        <w:t>22</w:t>
      </w:r>
      <w:r w:rsidR="00ED6671">
        <w:rPr>
          <w:rFonts w:ascii="Calibri" w:hAnsi="Calibri" w:cs="ArialNarrow"/>
        </w:rPr>
        <w:t>/2</w:t>
      </w:r>
      <w:r w:rsidR="005F5335">
        <w:rPr>
          <w:rFonts w:ascii="Calibri" w:hAnsi="Calibri" w:cs="ArialNarrow"/>
        </w:rPr>
        <w:t>3</w:t>
      </w:r>
      <w:r w:rsidR="00ED6671">
        <w:rPr>
          <w:rFonts w:ascii="Calibri" w:hAnsi="Calibri" w:cs="ArialNarrow"/>
        </w:rPr>
        <w:t xml:space="preserve"> </w:t>
      </w:r>
      <w:r w:rsidR="005F5335">
        <w:rPr>
          <w:rFonts w:ascii="Calibri" w:hAnsi="Calibri" w:cs="ArialNarrow"/>
        </w:rPr>
        <w:t>(98.2</w:t>
      </w:r>
      <w:r w:rsidR="001121A0">
        <w:rPr>
          <w:rFonts w:ascii="Calibri" w:hAnsi="Calibri" w:cs="ArialNarrow"/>
        </w:rPr>
        <w:t xml:space="preserve">%) </w:t>
      </w:r>
      <w:r w:rsidR="00ED6671">
        <w:rPr>
          <w:rFonts w:ascii="Calibri" w:hAnsi="Calibri" w:cs="ArialNarrow"/>
        </w:rPr>
        <w:t xml:space="preserve">and </w:t>
      </w:r>
      <w:r w:rsidR="005F5335">
        <w:rPr>
          <w:rFonts w:ascii="Calibri" w:hAnsi="Calibri" w:cs="ArialNarrow"/>
        </w:rPr>
        <w:t xml:space="preserve">significantly increased </w:t>
      </w:r>
      <w:r w:rsidR="001121A0">
        <w:rPr>
          <w:rFonts w:ascii="Calibri" w:hAnsi="Calibri" w:cs="ArialNarrow"/>
        </w:rPr>
        <w:t>over</w:t>
      </w:r>
      <w:r w:rsidR="002622EC">
        <w:rPr>
          <w:rFonts w:ascii="Calibri" w:hAnsi="Calibri" w:cs="ArialNarrow"/>
        </w:rPr>
        <w:t xml:space="preserve"> the </w:t>
      </w:r>
      <w:r w:rsidR="00DC3908">
        <w:rPr>
          <w:rFonts w:ascii="Calibri" w:hAnsi="Calibri" w:cs="ArialNarrow"/>
        </w:rPr>
        <w:t xml:space="preserve">same period of </w:t>
      </w:r>
      <w:r w:rsidR="005F5335">
        <w:rPr>
          <w:rFonts w:ascii="Calibri" w:hAnsi="Calibri" w:cs="ArialNarrow"/>
        </w:rPr>
        <w:t>2021/22</w:t>
      </w:r>
      <w:r w:rsidR="00A3371A">
        <w:rPr>
          <w:rFonts w:ascii="Calibri" w:hAnsi="Calibri" w:cs="ArialNarrow"/>
        </w:rPr>
        <w:t xml:space="preserve"> </w:t>
      </w:r>
      <w:r w:rsidR="0077397D">
        <w:rPr>
          <w:rFonts w:ascii="Calibri" w:hAnsi="Calibri" w:cs="ArialNarrow"/>
        </w:rPr>
        <w:t>(9</w:t>
      </w:r>
      <w:r w:rsidR="005F5335">
        <w:rPr>
          <w:rFonts w:ascii="Calibri" w:hAnsi="Calibri" w:cs="ArialNarrow"/>
        </w:rPr>
        <w:t>1.07</w:t>
      </w:r>
      <w:r w:rsidR="001121A0">
        <w:rPr>
          <w:rFonts w:ascii="Calibri" w:hAnsi="Calibri" w:cs="ArialNarrow"/>
        </w:rPr>
        <w:t>%).</w:t>
      </w:r>
      <w:r w:rsidR="009848F5">
        <w:rPr>
          <w:rFonts w:ascii="Calibri" w:hAnsi="Calibri" w:cs="ArialNarrow"/>
        </w:rPr>
        <w:t xml:space="preserve">  </w:t>
      </w:r>
      <w:r w:rsidR="005F5335">
        <w:rPr>
          <w:rFonts w:ascii="Calibri" w:hAnsi="Calibri" w:cs="ArialNarrow"/>
        </w:rPr>
        <w:t>This significant improvement in our occupancy rate is</w:t>
      </w:r>
      <w:r w:rsidR="00C441E0">
        <w:rPr>
          <w:rFonts w:ascii="Calibri" w:hAnsi="Calibri" w:cs="ArialNarrow"/>
        </w:rPr>
        <w:t xml:space="preserve"> related to </w:t>
      </w:r>
      <w:r w:rsidR="005F5335">
        <w:rPr>
          <w:rFonts w:ascii="Calibri" w:hAnsi="Calibri" w:cs="ArialNarrow"/>
        </w:rPr>
        <w:t xml:space="preserve">all </w:t>
      </w:r>
      <w:r w:rsidR="00C441E0">
        <w:rPr>
          <w:rFonts w:ascii="Calibri" w:hAnsi="Calibri" w:cs="ArialNarrow"/>
        </w:rPr>
        <w:t xml:space="preserve">vacancies </w:t>
      </w:r>
      <w:r w:rsidR="005F5335">
        <w:rPr>
          <w:rFonts w:ascii="Calibri" w:hAnsi="Calibri" w:cs="ArialNarrow"/>
        </w:rPr>
        <w:t xml:space="preserve">previously </w:t>
      </w:r>
      <w:r w:rsidR="00C441E0">
        <w:rPr>
          <w:rFonts w:ascii="Calibri" w:hAnsi="Calibri" w:cs="ArialNarrow"/>
        </w:rPr>
        <w:t>on hold due to R</w:t>
      </w:r>
      <w:r w:rsidR="005F5335">
        <w:rPr>
          <w:rFonts w:ascii="Calibri" w:hAnsi="Calibri" w:cs="ArialNarrow"/>
        </w:rPr>
        <w:t xml:space="preserve">esident Room renovation project being reopened. </w:t>
      </w:r>
    </w:p>
    <w:p w:rsidR="000501E8" w:rsidRDefault="000501E8" w:rsidP="00CF4AE4">
      <w:pPr>
        <w:rPr>
          <w:rFonts w:ascii="Calibri" w:hAnsi="Calibri" w:cs="ArialNarrow"/>
        </w:rPr>
      </w:pPr>
    </w:p>
    <w:p w:rsidR="00F048BA" w:rsidRDefault="00F048BA" w:rsidP="00CF4AE4">
      <w:pPr>
        <w:rPr>
          <w:rFonts w:ascii="Calibri" w:hAnsi="Calibri" w:cs="ArialNarrow"/>
        </w:rPr>
      </w:pPr>
      <w:r>
        <w:rPr>
          <w:rFonts w:ascii="Calibri" w:hAnsi="Calibri" w:cs="ArialNarrow"/>
        </w:rPr>
        <w:t>The occupancy rate for the respite bed</w:t>
      </w:r>
      <w:r w:rsidR="009C5733">
        <w:rPr>
          <w:rFonts w:ascii="Calibri" w:hAnsi="Calibri" w:cs="ArialNarrow"/>
        </w:rPr>
        <w:t xml:space="preserve"> </w:t>
      </w:r>
      <w:r w:rsidR="003653F0">
        <w:rPr>
          <w:rFonts w:ascii="Calibri" w:hAnsi="Calibri" w:cs="ArialNarrow"/>
        </w:rPr>
        <w:t>is increasing as shown in T</w:t>
      </w:r>
      <w:r>
        <w:rPr>
          <w:rFonts w:ascii="Calibri" w:hAnsi="Calibri" w:cs="ArialNarrow"/>
        </w:rPr>
        <w:t>able 1.</w:t>
      </w:r>
      <w:r w:rsidR="00D94606">
        <w:rPr>
          <w:rFonts w:ascii="Calibri" w:hAnsi="Calibri" w:cs="ArialNarrow"/>
        </w:rPr>
        <w:t xml:space="preserve"> </w:t>
      </w:r>
    </w:p>
    <w:p w:rsidR="00C441E0" w:rsidRDefault="00C441E0" w:rsidP="00CF4AE4">
      <w:pPr>
        <w:rPr>
          <w:rFonts w:ascii="Calibri" w:hAnsi="Calibri" w:cs="ArialNarrow"/>
        </w:rPr>
      </w:pPr>
    </w:p>
    <w:p w:rsidR="00F048BA" w:rsidRPr="007A7E7D" w:rsidRDefault="007A7E7D" w:rsidP="008B5A9E">
      <w:pPr>
        <w:rPr>
          <w:rFonts w:ascii="Calibri" w:hAnsi="Calibri" w:cs="ArialNarrow"/>
          <w:b/>
        </w:rPr>
      </w:pPr>
      <w:r>
        <w:rPr>
          <w:rFonts w:ascii="Calibri" w:hAnsi="Calibri" w:cs="ArialNarrow"/>
          <w:b/>
        </w:rPr>
        <w:t xml:space="preserve">       </w:t>
      </w:r>
      <w:r w:rsidR="00F048BA" w:rsidRPr="007A7E7D">
        <w:rPr>
          <w:rFonts w:ascii="Calibri" w:hAnsi="Calibri" w:cs="ArialNarrow"/>
          <w:b/>
        </w:rPr>
        <w:t xml:space="preserve">Table 1 </w:t>
      </w:r>
      <w:r w:rsidR="008B5A9E">
        <w:rPr>
          <w:rFonts w:ascii="Calibri" w:hAnsi="Calibri" w:cs="ArialNarrow"/>
          <w:b/>
        </w:rPr>
        <w:t xml:space="preserve"> </w:t>
      </w:r>
      <w:r>
        <w:rPr>
          <w:rFonts w:ascii="Calibri" w:hAnsi="Calibri" w:cs="ArialNarrow"/>
          <w:b/>
        </w:rPr>
        <w:t xml:space="preserve">       </w:t>
      </w:r>
      <w:r w:rsidR="00F048BA" w:rsidRPr="007A7E7D">
        <w:rPr>
          <w:rFonts w:ascii="Calibri" w:hAnsi="Calibri" w:cs="ArialNarrow"/>
          <w:b/>
        </w:rPr>
        <w:t>Respite Bed Occupancy</w:t>
      </w:r>
    </w:p>
    <w:tbl>
      <w:tblPr>
        <w:tblStyle w:val="TableGrid"/>
        <w:tblpPr w:leftFromText="180" w:rightFromText="180" w:vertAnchor="text" w:horzAnchor="page" w:tblpX="1152" w:tblpY="83"/>
        <w:tblW w:w="7243" w:type="dxa"/>
        <w:tblLook w:val="04A0" w:firstRow="1" w:lastRow="0" w:firstColumn="1" w:lastColumn="0" w:noHBand="0" w:noVBand="1"/>
      </w:tblPr>
      <w:tblGrid>
        <w:gridCol w:w="1203"/>
        <w:gridCol w:w="1208"/>
        <w:gridCol w:w="1208"/>
        <w:gridCol w:w="1208"/>
        <w:gridCol w:w="1208"/>
        <w:gridCol w:w="1208"/>
      </w:tblGrid>
      <w:tr w:rsidR="005F5335" w:rsidTr="005F5335">
        <w:trPr>
          <w:trHeight w:val="282"/>
        </w:trPr>
        <w:tc>
          <w:tcPr>
            <w:tcW w:w="1203" w:type="dxa"/>
          </w:tcPr>
          <w:p w:rsidR="005F5335" w:rsidRPr="007A7E7D" w:rsidRDefault="005F5335" w:rsidP="003653F0">
            <w:pPr>
              <w:rPr>
                <w:rFonts w:ascii="Calibri" w:hAnsi="Calibri" w:cs="ArialNarrow"/>
                <w:b/>
              </w:rPr>
            </w:pPr>
            <w:r w:rsidRPr="007A7E7D">
              <w:rPr>
                <w:rFonts w:ascii="Calibri" w:hAnsi="Calibri" w:cs="ArialNarrow"/>
                <w:b/>
              </w:rPr>
              <w:t>Month</w:t>
            </w:r>
          </w:p>
        </w:tc>
        <w:tc>
          <w:tcPr>
            <w:tcW w:w="1208" w:type="dxa"/>
          </w:tcPr>
          <w:p w:rsidR="005F5335" w:rsidRPr="007A7E7D" w:rsidRDefault="005F5335" w:rsidP="003653F0">
            <w:pPr>
              <w:jc w:val="center"/>
              <w:rPr>
                <w:rFonts w:ascii="Calibri" w:hAnsi="Calibri" w:cs="ArialNarrow"/>
                <w:b/>
              </w:rPr>
            </w:pPr>
            <w:r>
              <w:rPr>
                <w:rFonts w:ascii="Calibri" w:hAnsi="Calibri" w:cs="ArialNarrow"/>
                <w:b/>
              </w:rPr>
              <w:t>Occupancy 2018/19</w:t>
            </w:r>
          </w:p>
        </w:tc>
        <w:tc>
          <w:tcPr>
            <w:tcW w:w="1208" w:type="dxa"/>
          </w:tcPr>
          <w:p w:rsidR="005F5335" w:rsidRDefault="005F5335" w:rsidP="003653F0">
            <w:pPr>
              <w:jc w:val="center"/>
              <w:rPr>
                <w:rFonts w:ascii="Calibri" w:hAnsi="Calibri" w:cs="ArialNarrow"/>
                <w:b/>
              </w:rPr>
            </w:pPr>
            <w:r>
              <w:rPr>
                <w:rFonts w:ascii="Calibri" w:hAnsi="Calibri" w:cs="ArialNarrow"/>
                <w:b/>
              </w:rPr>
              <w:t xml:space="preserve">Occupancy  </w:t>
            </w:r>
          </w:p>
          <w:p w:rsidR="005F5335" w:rsidRDefault="005F5335" w:rsidP="00B02B1F">
            <w:pPr>
              <w:jc w:val="center"/>
              <w:rPr>
                <w:rFonts w:ascii="Calibri" w:hAnsi="Calibri" w:cs="ArialNarrow"/>
                <w:b/>
              </w:rPr>
            </w:pPr>
            <w:r>
              <w:rPr>
                <w:rFonts w:ascii="Calibri" w:hAnsi="Calibri" w:cs="ArialNarrow"/>
                <w:b/>
              </w:rPr>
              <w:t>2019/20</w:t>
            </w:r>
          </w:p>
        </w:tc>
        <w:tc>
          <w:tcPr>
            <w:tcW w:w="1208" w:type="dxa"/>
          </w:tcPr>
          <w:p w:rsidR="005F5335" w:rsidRDefault="005F5335" w:rsidP="003653F0">
            <w:pPr>
              <w:jc w:val="center"/>
              <w:rPr>
                <w:rFonts w:ascii="Calibri" w:hAnsi="Calibri" w:cs="ArialNarrow"/>
                <w:b/>
              </w:rPr>
            </w:pPr>
            <w:r>
              <w:rPr>
                <w:rFonts w:ascii="Calibri" w:hAnsi="Calibri" w:cs="ArialNarrow"/>
                <w:b/>
              </w:rPr>
              <w:t>Occupancy</w:t>
            </w:r>
          </w:p>
          <w:p w:rsidR="005F5335" w:rsidRDefault="005F5335" w:rsidP="003653F0">
            <w:pPr>
              <w:jc w:val="center"/>
              <w:rPr>
                <w:rFonts w:ascii="Calibri" w:hAnsi="Calibri" w:cs="ArialNarrow"/>
                <w:b/>
              </w:rPr>
            </w:pPr>
            <w:r>
              <w:rPr>
                <w:rFonts w:ascii="Calibri" w:hAnsi="Calibri" w:cs="ArialNarrow"/>
                <w:b/>
              </w:rPr>
              <w:t>2020-21</w:t>
            </w:r>
          </w:p>
        </w:tc>
        <w:tc>
          <w:tcPr>
            <w:tcW w:w="1208" w:type="dxa"/>
          </w:tcPr>
          <w:p w:rsidR="005F5335" w:rsidRDefault="005F5335" w:rsidP="003653F0">
            <w:pPr>
              <w:jc w:val="center"/>
              <w:rPr>
                <w:rFonts w:ascii="Calibri" w:hAnsi="Calibri" w:cs="ArialNarrow"/>
                <w:b/>
              </w:rPr>
            </w:pPr>
            <w:r>
              <w:rPr>
                <w:rFonts w:ascii="Calibri" w:hAnsi="Calibri" w:cs="ArialNarrow"/>
                <w:b/>
              </w:rPr>
              <w:t>Occupancy</w:t>
            </w:r>
          </w:p>
          <w:p w:rsidR="005F5335" w:rsidRDefault="005F5335" w:rsidP="003653F0">
            <w:pPr>
              <w:jc w:val="center"/>
              <w:rPr>
                <w:rFonts w:ascii="Calibri" w:hAnsi="Calibri" w:cs="ArialNarrow"/>
                <w:b/>
              </w:rPr>
            </w:pPr>
            <w:r>
              <w:rPr>
                <w:rFonts w:ascii="Calibri" w:hAnsi="Calibri" w:cs="ArialNarrow"/>
                <w:b/>
              </w:rPr>
              <w:t>2021-22</w:t>
            </w:r>
          </w:p>
        </w:tc>
        <w:tc>
          <w:tcPr>
            <w:tcW w:w="1208" w:type="dxa"/>
          </w:tcPr>
          <w:p w:rsidR="005F5335" w:rsidRDefault="005F5335" w:rsidP="003653F0">
            <w:pPr>
              <w:jc w:val="center"/>
              <w:rPr>
                <w:rFonts w:ascii="Calibri" w:hAnsi="Calibri" w:cs="ArialNarrow"/>
                <w:b/>
              </w:rPr>
            </w:pPr>
            <w:r>
              <w:rPr>
                <w:rFonts w:ascii="Calibri" w:hAnsi="Calibri" w:cs="ArialNarrow"/>
                <w:b/>
              </w:rPr>
              <w:t>Occupancy 2022-23</w:t>
            </w:r>
          </w:p>
        </w:tc>
      </w:tr>
      <w:tr w:rsidR="005F5335" w:rsidTr="005F5335">
        <w:trPr>
          <w:trHeight w:val="287"/>
        </w:trPr>
        <w:tc>
          <w:tcPr>
            <w:tcW w:w="1203" w:type="dxa"/>
          </w:tcPr>
          <w:p w:rsidR="005F5335" w:rsidRDefault="005F5335" w:rsidP="005F5335">
            <w:pPr>
              <w:rPr>
                <w:rFonts w:ascii="Calibri" w:hAnsi="Calibri" w:cs="ArialNarrow"/>
              </w:rPr>
            </w:pPr>
            <w:r>
              <w:rPr>
                <w:rFonts w:ascii="Calibri" w:hAnsi="Calibri" w:cs="ArialNarrow"/>
              </w:rPr>
              <w:t xml:space="preserve">April </w:t>
            </w:r>
          </w:p>
        </w:tc>
        <w:tc>
          <w:tcPr>
            <w:tcW w:w="1208" w:type="dxa"/>
          </w:tcPr>
          <w:p w:rsidR="005F5335" w:rsidRPr="00201B32" w:rsidRDefault="005F5335" w:rsidP="005F5335">
            <w:pPr>
              <w:jc w:val="right"/>
            </w:pPr>
            <w:r w:rsidRPr="00201B32">
              <w:t>43.3%</w:t>
            </w:r>
          </w:p>
        </w:tc>
        <w:tc>
          <w:tcPr>
            <w:tcW w:w="1208" w:type="dxa"/>
          </w:tcPr>
          <w:p w:rsidR="005F5335" w:rsidRPr="006F2C1A" w:rsidRDefault="005F5335" w:rsidP="005F5335">
            <w:pPr>
              <w:jc w:val="right"/>
            </w:pPr>
            <w:r w:rsidRPr="006F2C1A">
              <w:t>70.0%</w:t>
            </w:r>
          </w:p>
        </w:tc>
        <w:tc>
          <w:tcPr>
            <w:tcW w:w="1208" w:type="dxa"/>
          </w:tcPr>
          <w:p w:rsidR="005F5335" w:rsidRPr="006F2C1A" w:rsidRDefault="005F5335" w:rsidP="005F5335">
            <w:pPr>
              <w:jc w:val="right"/>
            </w:pPr>
            <w:r>
              <w:t>0</w:t>
            </w:r>
          </w:p>
        </w:tc>
        <w:tc>
          <w:tcPr>
            <w:tcW w:w="1208" w:type="dxa"/>
            <w:vAlign w:val="bottom"/>
          </w:tcPr>
          <w:p w:rsidR="005F5335" w:rsidRDefault="005F5335" w:rsidP="005F5335">
            <w:pPr>
              <w:jc w:val="right"/>
              <w:rPr>
                <w:rFonts w:ascii="Calibri" w:hAnsi="Calibri" w:cs="Calibri"/>
                <w:color w:val="000000"/>
                <w:szCs w:val="22"/>
                <w:lang w:val="en-CA"/>
              </w:rPr>
            </w:pPr>
            <w:r>
              <w:rPr>
                <w:rFonts w:ascii="Calibri" w:hAnsi="Calibri" w:cs="Calibri"/>
                <w:color w:val="000000"/>
                <w:szCs w:val="22"/>
              </w:rPr>
              <w:t>13.3%</w:t>
            </w:r>
          </w:p>
        </w:tc>
        <w:tc>
          <w:tcPr>
            <w:tcW w:w="1208" w:type="dxa"/>
          </w:tcPr>
          <w:p w:rsidR="005F5335" w:rsidRPr="002964E2" w:rsidRDefault="005F5335" w:rsidP="005F5335">
            <w:r w:rsidRPr="002964E2">
              <w:t>53.3%</w:t>
            </w:r>
          </w:p>
        </w:tc>
      </w:tr>
      <w:tr w:rsidR="005F5335" w:rsidTr="005F5335">
        <w:tc>
          <w:tcPr>
            <w:tcW w:w="1203" w:type="dxa"/>
          </w:tcPr>
          <w:p w:rsidR="005F5335" w:rsidRDefault="005F5335" w:rsidP="005F5335">
            <w:pPr>
              <w:rPr>
                <w:rFonts w:ascii="Calibri" w:hAnsi="Calibri" w:cs="ArialNarrow"/>
              </w:rPr>
            </w:pPr>
            <w:r>
              <w:rPr>
                <w:rFonts w:ascii="Calibri" w:hAnsi="Calibri" w:cs="ArialNarrow"/>
              </w:rPr>
              <w:t>May</w:t>
            </w:r>
          </w:p>
        </w:tc>
        <w:tc>
          <w:tcPr>
            <w:tcW w:w="1208" w:type="dxa"/>
          </w:tcPr>
          <w:p w:rsidR="005F5335" w:rsidRPr="00201B32" w:rsidRDefault="005F5335" w:rsidP="005F5335">
            <w:pPr>
              <w:jc w:val="right"/>
            </w:pPr>
            <w:r w:rsidRPr="00201B32">
              <w:t>12.9%</w:t>
            </w:r>
          </w:p>
        </w:tc>
        <w:tc>
          <w:tcPr>
            <w:tcW w:w="1208" w:type="dxa"/>
          </w:tcPr>
          <w:p w:rsidR="005F5335" w:rsidRPr="006F2C1A" w:rsidRDefault="005F5335" w:rsidP="005F5335">
            <w:pPr>
              <w:jc w:val="right"/>
            </w:pPr>
            <w:r w:rsidRPr="006F2C1A">
              <w:t>35.5%</w:t>
            </w:r>
          </w:p>
        </w:tc>
        <w:tc>
          <w:tcPr>
            <w:tcW w:w="1208" w:type="dxa"/>
          </w:tcPr>
          <w:p w:rsidR="005F5335" w:rsidRPr="006F2C1A" w:rsidRDefault="005F5335" w:rsidP="005F5335">
            <w:pPr>
              <w:jc w:val="right"/>
            </w:pPr>
            <w:r>
              <w:t>0</w:t>
            </w:r>
          </w:p>
        </w:tc>
        <w:tc>
          <w:tcPr>
            <w:tcW w:w="1208" w:type="dxa"/>
            <w:vAlign w:val="bottom"/>
          </w:tcPr>
          <w:p w:rsidR="005F5335" w:rsidRDefault="005F5335" w:rsidP="005F5335">
            <w:pPr>
              <w:jc w:val="right"/>
              <w:rPr>
                <w:rFonts w:ascii="Calibri" w:hAnsi="Calibri" w:cs="Calibri"/>
                <w:color w:val="000000"/>
                <w:szCs w:val="22"/>
              </w:rPr>
            </w:pPr>
            <w:r>
              <w:rPr>
                <w:rFonts w:ascii="Calibri" w:hAnsi="Calibri" w:cs="Calibri"/>
                <w:color w:val="000000"/>
                <w:szCs w:val="22"/>
              </w:rPr>
              <w:t>0.0%</w:t>
            </w:r>
          </w:p>
        </w:tc>
        <w:tc>
          <w:tcPr>
            <w:tcW w:w="1208" w:type="dxa"/>
          </w:tcPr>
          <w:p w:rsidR="005F5335" w:rsidRPr="002964E2" w:rsidRDefault="005F5335" w:rsidP="005F5335">
            <w:r w:rsidRPr="002964E2">
              <w:t>35.5%</w:t>
            </w:r>
          </w:p>
        </w:tc>
      </w:tr>
      <w:tr w:rsidR="005F5335" w:rsidTr="005F5335">
        <w:tc>
          <w:tcPr>
            <w:tcW w:w="1203" w:type="dxa"/>
          </w:tcPr>
          <w:p w:rsidR="005F5335" w:rsidRDefault="005F5335" w:rsidP="005F5335">
            <w:pPr>
              <w:rPr>
                <w:rFonts w:ascii="Calibri" w:hAnsi="Calibri" w:cs="ArialNarrow"/>
              </w:rPr>
            </w:pPr>
            <w:r>
              <w:rPr>
                <w:rFonts w:ascii="Calibri" w:hAnsi="Calibri" w:cs="ArialNarrow"/>
              </w:rPr>
              <w:t>June</w:t>
            </w:r>
          </w:p>
        </w:tc>
        <w:tc>
          <w:tcPr>
            <w:tcW w:w="1208" w:type="dxa"/>
          </w:tcPr>
          <w:p w:rsidR="005F5335" w:rsidRPr="00201B32" w:rsidRDefault="005F5335" w:rsidP="005F5335">
            <w:pPr>
              <w:jc w:val="right"/>
            </w:pPr>
            <w:r w:rsidRPr="00201B32">
              <w:t>36.7%</w:t>
            </w:r>
          </w:p>
        </w:tc>
        <w:tc>
          <w:tcPr>
            <w:tcW w:w="1208" w:type="dxa"/>
          </w:tcPr>
          <w:p w:rsidR="005F5335" w:rsidRDefault="005F5335" w:rsidP="005F5335">
            <w:pPr>
              <w:jc w:val="right"/>
            </w:pPr>
            <w:r w:rsidRPr="006F2C1A">
              <w:t>80.0%</w:t>
            </w:r>
          </w:p>
        </w:tc>
        <w:tc>
          <w:tcPr>
            <w:tcW w:w="1208" w:type="dxa"/>
          </w:tcPr>
          <w:p w:rsidR="005F5335" w:rsidRPr="006F2C1A" w:rsidRDefault="005F5335" w:rsidP="005F5335">
            <w:pPr>
              <w:jc w:val="right"/>
            </w:pPr>
            <w:r>
              <w:t>0</w:t>
            </w:r>
          </w:p>
        </w:tc>
        <w:tc>
          <w:tcPr>
            <w:tcW w:w="1208" w:type="dxa"/>
            <w:vAlign w:val="bottom"/>
          </w:tcPr>
          <w:p w:rsidR="005F5335" w:rsidRDefault="005F5335" w:rsidP="005F5335">
            <w:pPr>
              <w:jc w:val="right"/>
              <w:rPr>
                <w:rFonts w:ascii="Calibri" w:hAnsi="Calibri" w:cs="Calibri"/>
                <w:color w:val="000000"/>
                <w:szCs w:val="22"/>
              </w:rPr>
            </w:pPr>
            <w:r>
              <w:rPr>
                <w:rFonts w:ascii="Calibri" w:hAnsi="Calibri" w:cs="Calibri"/>
                <w:color w:val="000000"/>
                <w:szCs w:val="22"/>
              </w:rPr>
              <w:t>0.0%</w:t>
            </w:r>
          </w:p>
        </w:tc>
        <w:tc>
          <w:tcPr>
            <w:tcW w:w="1208" w:type="dxa"/>
          </w:tcPr>
          <w:p w:rsidR="005F5335" w:rsidRPr="002964E2" w:rsidRDefault="005F5335" w:rsidP="005F5335">
            <w:r w:rsidRPr="002964E2">
              <w:t>83.3%</w:t>
            </w:r>
          </w:p>
        </w:tc>
      </w:tr>
      <w:tr w:rsidR="005F5335" w:rsidTr="005F5335">
        <w:tc>
          <w:tcPr>
            <w:tcW w:w="1203" w:type="dxa"/>
          </w:tcPr>
          <w:p w:rsidR="005F5335" w:rsidRDefault="005F5335" w:rsidP="005F5335">
            <w:pPr>
              <w:rPr>
                <w:rFonts w:ascii="Calibri" w:hAnsi="Calibri" w:cs="ArialNarrow"/>
              </w:rPr>
            </w:pPr>
            <w:r>
              <w:rPr>
                <w:rFonts w:ascii="Calibri" w:hAnsi="Calibri" w:cs="ArialNarrow"/>
              </w:rPr>
              <w:t>July</w:t>
            </w:r>
          </w:p>
        </w:tc>
        <w:tc>
          <w:tcPr>
            <w:tcW w:w="1208" w:type="dxa"/>
          </w:tcPr>
          <w:p w:rsidR="005F5335" w:rsidRPr="00201B32" w:rsidRDefault="005F5335" w:rsidP="005F5335">
            <w:pPr>
              <w:jc w:val="right"/>
            </w:pPr>
            <w:r w:rsidRPr="00201B32">
              <w:t>64.5%</w:t>
            </w:r>
          </w:p>
        </w:tc>
        <w:tc>
          <w:tcPr>
            <w:tcW w:w="1208" w:type="dxa"/>
            <w:vAlign w:val="bottom"/>
          </w:tcPr>
          <w:p w:rsidR="005F5335" w:rsidRDefault="005F5335" w:rsidP="005F5335">
            <w:pPr>
              <w:jc w:val="right"/>
              <w:rPr>
                <w:rFonts w:ascii="Calibri" w:hAnsi="Calibri" w:cs="Calibri"/>
                <w:color w:val="000000"/>
              </w:rPr>
            </w:pPr>
            <w:r>
              <w:rPr>
                <w:rFonts w:ascii="Calibri" w:hAnsi="Calibri" w:cs="Calibri"/>
                <w:color w:val="000000"/>
              </w:rPr>
              <w:t>74.2%</w:t>
            </w:r>
          </w:p>
        </w:tc>
        <w:tc>
          <w:tcPr>
            <w:tcW w:w="1208" w:type="dxa"/>
          </w:tcPr>
          <w:p w:rsidR="005F5335" w:rsidRDefault="005F5335" w:rsidP="005F5335">
            <w:pPr>
              <w:jc w:val="right"/>
              <w:rPr>
                <w:rFonts w:ascii="Calibri" w:hAnsi="Calibri" w:cs="Calibri"/>
                <w:color w:val="000000"/>
              </w:rPr>
            </w:pPr>
            <w:r>
              <w:rPr>
                <w:rFonts w:ascii="Calibri" w:hAnsi="Calibri" w:cs="Calibri"/>
                <w:color w:val="000000"/>
              </w:rPr>
              <w:t>0</w:t>
            </w:r>
          </w:p>
        </w:tc>
        <w:tc>
          <w:tcPr>
            <w:tcW w:w="1208" w:type="dxa"/>
            <w:vAlign w:val="bottom"/>
          </w:tcPr>
          <w:p w:rsidR="005F5335" w:rsidRDefault="005F5335" w:rsidP="005F5335">
            <w:pPr>
              <w:jc w:val="right"/>
              <w:rPr>
                <w:rFonts w:ascii="Calibri" w:hAnsi="Calibri" w:cs="Calibri"/>
                <w:color w:val="000000"/>
                <w:szCs w:val="22"/>
              </w:rPr>
            </w:pPr>
            <w:r>
              <w:rPr>
                <w:rFonts w:ascii="Calibri" w:hAnsi="Calibri" w:cs="Calibri"/>
                <w:color w:val="000000"/>
                <w:szCs w:val="22"/>
              </w:rPr>
              <w:t>29.0%</w:t>
            </w:r>
          </w:p>
        </w:tc>
        <w:tc>
          <w:tcPr>
            <w:tcW w:w="1208" w:type="dxa"/>
          </w:tcPr>
          <w:p w:rsidR="005F5335" w:rsidRPr="002964E2" w:rsidRDefault="005F5335" w:rsidP="005F5335">
            <w:r w:rsidRPr="002964E2">
              <w:t>0.0%</w:t>
            </w:r>
          </w:p>
        </w:tc>
      </w:tr>
      <w:tr w:rsidR="005F5335" w:rsidTr="005F5335">
        <w:tc>
          <w:tcPr>
            <w:tcW w:w="1203" w:type="dxa"/>
          </w:tcPr>
          <w:p w:rsidR="005F5335" w:rsidRDefault="005F5335" w:rsidP="005F5335">
            <w:pPr>
              <w:rPr>
                <w:rFonts w:ascii="Calibri" w:hAnsi="Calibri" w:cs="ArialNarrow"/>
              </w:rPr>
            </w:pPr>
            <w:r>
              <w:rPr>
                <w:rFonts w:ascii="Calibri" w:hAnsi="Calibri" w:cs="ArialNarrow"/>
              </w:rPr>
              <w:t>August</w:t>
            </w:r>
          </w:p>
        </w:tc>
        <w:tc>
          <w:tcPr>
            <w:tcW w:w="1208" w:type="dxa"/>
          </w:tcPr>
          <w:p w:rsidR="005F5335" w:rsidRPr="00201B32" w:rsidRDefault="005F5335" w:rsidP="005F5335">
            <w:pPr>
              <w:jc w:val="right"/>
            </w:pPr>
            <w:r w:rsidRPr="00201B32">
              <w:t>51.6%</w:t>
            </w:r>
          </w:p>
        </w:tc>
        <w:tc>
          <w:tcPr>
            <w:tcW w:w="1208" w:type="dxa"/>
            <w:vAlign w:val="bottom"/>
          </w:tcPr>
          <w:p w:rsidR="005F5335" w:rsidRDefault="005F5335" w:rsidP="005F5335">
            <w:pPr>
              <w:jc w:val="right"/>
              <w:rPr>
                <w:rFonts w:ascii="Calibri" w:hAnsi="Calibri" w:cs="Calibri"/>
                <w:color w:val="000000"/>
              </w:rPr>
            </w:pPr>
            <w:r>
              <w:rPr>
                <w:rFonts w:ascii="Calibri" w:hAnsi="Calibri" w:cs="Calibri"/>
                <w:color w:val="000000"/>
              </w:rPr>
              <w:t>45.2%</w:t>
            </w:r>
          </w:p>
        </w:tc>
        <w:tc>
          <w:tcPr>
            <w:tcW w:w="1208" w:type="dxa"/>
          </w:tcPr>
          <w:p w:rsidR="005F5335" w:rsidRDefault="005F5335" w:rsidP="005F5335">
            <w:pPr>
              <w:jc w:val="right"/>
              <w:rPr>
                <w:rFonts w:ascii="Calibri" w:hAnsi="Calibri" w:cs="Calibri"/>
                <w:color w:val="000000"/>
              </w:rPr>
            </w:pPr>
            <w:r>
              <w:rPr>
                <w:rFonts w:ascii="Calibri" w:hAnsi="Calibri" w:cs="Calibri"/>
                <w:color w:val="000000"/>
              </w:rPr>
              <w:t>0</w:t>
            </w:r>
          </w:p>
        </w:tc>
        <w:tc>
          <w:tcPr>
            <w:tcW w:w="1208" w:type="dxa"/>
            <w:vAlign w:val="bottom"/>
          </w:tcPr>
          <w:p w:rsidR="005F5335" w:rsidRDefault="005F5335" w:rsidP="005F5335">
            <w:pPr>
              <w:jc w:val="right"/>
              <w:rPr>
                <w:rFonts w:ascii="Calibri" w:hAnsi="Calibri" w:cs="Calibri"/>
                <w:color w:val="000000"/>
                <w:szCs w:val="22"/>
              </w:rPr>
            </w:pPr>
            <w:r>
              <w:rPr>
                <w:rFonts w:ascii="Calibri" w:hAnsi="Calibri" w:cs="Calibri"/>
                <w:color w:val="000000"/>
                <w:szCs w:val="22"/>
              </w:rPr>
              <w:t>74.2%</w:t>
            </w:r>
          </w:p>
        </w:tc>
        <w:tc>
          <w:tcPr>
            <w:tcW w:w="1208" w:type="dxa"/>
          </w:tcPr>
          <w:p w:rsidR="005F5335" w:rsidRPr="002964E2" w:rsidRDefault="005F5335" w:rsidP="005F5335">
            <w:r w:rsidRPr="002964E2">
              <w:t>93.5%</w:t>
            </w:r>
          </w:p>
        </w:tc>
      </w:tr>
      <w:tr w:rsidR="005F5335" w:rsidTr="005F5335">
        <w:tc>
          <w:tcPr>
            <w:tcW w:w="1203" w:type="dxa"/>
          </w:tcPr>
          <w:p w:rsidR="005F5335" w:rsidRDefault="005F5335" w:rsidP="005F5335">
            <w:pPr>
              <w:rPr>
                <w:rFonts w:ascii="Calibri" w:hAnsi="Calibri" w:cs="ArialNarrow"/>
              </w:rPr>
            </w:pPr>
            <w:r>
              <w:rPr>
                <w:rFonts w:ascii="Calibri" w:hAnsi="Calibri" w:cs="ArialNarrow"/>
              </w:rPr>
              <w:t>September</w:t>
            </w:r>
          </w:p>
        </w:tc>
        <w:tc>
          <w:tcPr>
            <w:tcW w:w="1208" w:type="dxa"/>
          </w:tcPr>
          <w:p w:rsidR="005F5335" w:rsidRPr="00201B32" w:rsidRDefault="005F5335" w:rsidP="005F5335">
            <w:pPr>
              <w:jc w:val="right"/>
            </w:pPr>
            <w:r w:rsidRPr="00201B32">
              <w:t>73.3%</w:t>
            </w:r>
          </w:p>
        </w:tc>
        <w:tc>
          <w:tcPr>
            <w:tcW w:w="1208" w:type="dxa"/>
            <w:vAlign w:val="bottom"/>
          </w:tcPr>
          <w:p w:rsidR="005F5335" w:rsidRDefault="005F5335" w:rsidP="005F5335">
            <w:pPr>
              <w:jc w:val="right"/>
              <w:rPr>
                <w:rFonts w:ascii="Calibri" w:hAnsi="Calibri" w:cs="Calibri"/>
                <w:color w:val="000000"/>
              </w:rPr>
            </w:pPr>
            <w:r>
              <w:rPr>
                <w:rFonts w:ascii="Calibri" w:hAnsi="Calibri" w:cs="Calibri"/>
                <w:color w:val="000000"/>
              </w:rPr>
              <w:t>20.0%</w:t>
            </w:r>
          </w:p>
        </w:tc>
        <w:tc>
          <w:tcPr>
            <w:tcW w:w="1208" w:type="dxa"/>
          </w:tcPr>
          <w:p w:rsidR="005F5335" w:rsidRDefault="005F5335" w:rsidP="005F5335">
            <w:pPr>
              <w:jc w:val="right"/>
              <w:rPr>
                <w:rFonts w:ascii="Calibri" w:hAnsi="Calibri" w:cs="Calibri"/>
                <w:color w:val="000000"/>
              </w:rPr>
            </w:pPr>
            <w:r>
              <w:rPr>
                <w:rFonts w:ascii="Calibri" w:hAnsi="Calibri" w:cs="Calibri"/>
                <w:color w:val="000000"/>
              </w:rPr>
              <w:t>0</w:t>
            </w:r>
          </w:p>
        </w:tc>
        <w:tc>
          <w:tcPr>
            <w:tcW w:w="1208" w:type="dxa"/>
            <w:vAlign w:val="bottom"/>
          </w:tcPr>
          <w:p w:rsidR="005F5335" w:rsidRDefault="005F5335" w:rsidP="005F5335">
            <w:pPr>
              <w:jc w:val="right"/>
              <w:rPr>
                <w:rFonts w:ascii="Calibri" w:hAnsi="Calibri" w:cs="Calibri"/>
                <w:color w:val="000000"/>
                <w:szCs w:val="22"/>
              </w:rPr>
            </w:pPr>
            <w:r>
              <w:rPr>
                <w:rFonts w:ascii="Calibri" w:hAnsi="Calibri" w:cs="Calibri"/>
                <w:color w:val="000000"/>
                <w:szCs w:val="22"/>
              </w:rPr>
              <w:t>66.7%</w:t>
            </w:r>
          </w:p>
        </w:tc>
        <w:tc>
          <w:tcPr>
            <w:tcW w:w="1208" w:type="dxa"/>
          </w:tcPr>
          <w:p w:rsidR="005F5335" w:rsidRPr="002964E2" w:rsidRDefault="005F5335" w:rsidP="005F5335">
            <w:r w:rsidRPr="002964E2">
              <w:t>70.0%</w:t>
            </w:r>
          </w:p>
        </w:tc>
      </w:tr>
      <w:tr w:rsidR="005F5335" w:rsidTr="005F5335">
        <w:tc>
          <w:tcPr>
            <w:tcW w:w="1203" w:type="dxa"/>
          </w:tcPr>
          <w:p w:rsidR="005F5335" w:rsidRDefault="005F5335" w:rsidP="005F5335">
            <w:pPr>
              <w:rPr>
                <w:rFonts w:ascii="Calibri" w:hAnsi="Calibri" w:cs="ArialNarrow"/>
              </w:rPr>
            </w:pPr>
            <w:r>
              <w:rPr>
                <w:rFonts w:ascii="Calibri" w:hAnsi="Calibri" w:cs="ArialNarrow"/>
              </w:rPr>
              <w:t>October</w:t>
            </w:r>
          </w:p>
        </w:tc>
        <w:tc>
          <w:tcPr>
            <w:tcW w:w="1208" w:type="dxa"/>
          </w:tcPr>
          <w:p w:rsidR="005F5335" w:rsidRPr="00201B32" w:rsidRDefault="005F5335" w:rsidP="005F5335">
            <w:pPr>
              <w:jc w:val="right"/>
            </w:pPr>
            <w:r w:rsidRPr="00201B32">
              <w:t>41.9%</w:t>
            </w:r>
          </w:p>
        </w:tc>
        <w:tc>
          <w:tcPr>
            <w:tcW w:w="1208" w:type="dxa"/>
            <w:vAlign w:val="bottom"/>
          </w:tcPr>
          <w:p w:rsidR="005F5335" w:rsidRDefault="005F5335" w:rsidP="005F5335">
            <w:pPr>
              <w:jc w:val="right"/>
              <w:rPr>
                <w:rFonts w:ascii="Calibri" w:hAnsi="Calibri" w:cs="Calibri"/>
                <w:color w:val="000000"/>
              </w:rPr>
            </w:pPr>
            <w:r>
              <w:rPr>
                <w:rFonts w:ascii="Calibri" w:hAnsi="Calibri" w:cs="Calibri"/>
                <w:color w:val="000000"/>
              </w:rPr>
              <w:t>0.0%</w:t>
            </w:r>
          </w:p>
        </w:tc>
        <w:tc>
          <w:tcPr>
            <w:tcW w:w="1208" w:type="dxa"/>
          </w:tcPr>
          <w:p w:rsidR="005F5335" w:rsidRDefault="005F5335" w:rsidP="005F5335">
            <w:pPr>
              <w:jc w:val="right"/>
              <w:rPr>
                <w:rFonts w:ascii="Calibri" w:hAnsi="Calibri" w:cs="Calibri"/>
                <w:color w:val="000000"/>
              </w:rPr>
            </w:pPr>
            <w:r>
              <w:rPr>
                <w:rFonts w:ascii="Calibri" w:hAnsi="Calibri" w:cs="Calibri"/>
                <w:color w:val="000000"/>
              </w:rPr>
              <w:t>0</w:t>
            </w:r>
          </w:p>
        </w:tc>
        <w:tc>
          <w:tcPr>
            <w:tcW w:w="1208" w:type="dxa"/>
            <w:vAlign w:val="bottom"/>
          </w:tcPr>
          <w:p w:rsidR="005F5335" w:rsidRDefault="005F5335" w:rsidP="005F5335">
            <w:pPr>
              <w:jc w:val="right"/>
              <w:rPr>
                <w:rFonts w:ascii="Calibri" w:hAnsi="Calibri" w:cs="Calibri"/>
                <w:color w:val="000000"/>
                <w:szCs w:val="22"/>
              </w:rPr>
            </w:pPr>
            <w:r>
              <w:rPr>
                <w:rFonts w:ascii="Calibri" w:hAnsi="Calibri" w:cs="Calibri"/>
                <w:color w:val="000000"/>
                <w:szCs w:val="22"/>
              </w:rPr>
              <w:t>100.0%</w:t>
            </w:r>
          </w:p>
        </w:tc>
        <w:tc>
          <w:tcPr>
            <w:tcW w:w="1208" w:type="dxa"/>
          </w:tcPr>
          <w:p w:rsidR="005F5335" w:rsidRPr="002964E2" w:rsidRDefault="005F5335" w:rsidP="005F5335">
            <w:r w:rsidRPr="002964E2">
              <w:t>22.6%</w:t>
            </w:r>
          </w:p>
        </w:tc>
      </w:tr>
      <w:tr w:rsidR="005F5335" w:rsidTr="005F5335">
        <w:tc>
          <w:tcPr>
            <w:tcW w:w="1203" w:type="dxa"/>
          </w:tcPr>
          <w:p w:rsidR="005F5335" w:rsidRDefault="005F5335" w:rsidP="005F5335">
            <w:pPr>
              <w:rPr>
                <w:rFonts w:ascii="Calibri" w:hAnsi="Calibri" w:cs="ArialNarrow"/>
              </w:rPr>
            </w:pPr>
            <w:r>
              <w:rPr>
                <w:rFonts w:ascii="Calibri" w:hAnsi="Calibri" w:cs="ArialNarrow"/>
              </w:rPr>
              <w:t xml:space="preserve">November </w:t>
            </w:r>
          </w:p>
        </w:tc>
        <w:tc>
          <w:tcPr>
            <w:tcW w:w="1208" w:type="dxa"/>
          </w:tcPr>
          <w:p w:rsidR="005F5335" w:rsidRPr="00201B32" w:rsidRDefault="005F5335" w:rsidP="005F5335">
            <w:pPr>
              <w:jc w:val="right"/>
            </w:pPr>
            <w:r w:rsidRPr="00201B32">
              <w:t>33.3%</w:t>
            </w:r>
          </w:p>
        </w:tc>
        <w:tc>
          <w:tcPr>
            <w:tcW w:w="1208" w:type="dxa"/>
            <w:vAlign w:val="bottom"/>
          </w:tcPr>
          <w:p w:rsidR="005F5335" w:rsidRDefault="005F5335" w:rsidP="005F5335">
            <w:pPr>
              <w:jc w:val="right"/>
              <w:rPr>
                <w:rFonts w:ascii="Calibri" w:hAnsi="Calibri" w:cs="Calibri"/>
                <w:color w:val="000000"/>
              </w:rPr>
            </w:pPr>
            <w:r>
              <w:rPr>
                <w:rFonts w:ascii="Calibri" w:hAnsi="Calibri" w:cs="Calibri"/>
                <w:color w:val="000000"/>
              </w:rPr>
              <w:t>0.0%</w:t>
            </w:r>
          </w:p>
        </w:tc>
        <w:tc>
          <w:tcPr>
            <w:tcW w:w="1208" w:type="dxa"/>
          </w:tcPr>
          <w:p w:rsidR="005F5335" w:rsidRDefault="005F5335" w:rsidP="005F5335">
            <w:pPr>
              <w:jc w:val="right"/>
              <w:rPr>
                <w:rFonts w:ascii="Calibri" w:hAnsi="Calibri" w:cs="Calibri"/>
                <w:color w:val="000000"/>
              </w:rPr>
            </w:pPr>
            <w:r>
              <w:rPr>
                <w:rFonts w:ascii="Calibri" w:hAnsi="Calibri" w:cs="Calibri"/>
                <w:color w:val="000000"/>
              </w:rPr>
              <w:t>0</w:t>
            </w:r>
          </w:p>
        </w:tc>
        <w:tc>
          <w:tcPr>
            <w:tcW w:w="1208" w:type="dxa"/>
            <w:vAlign w:val="bottom"/>
          </w:tcPr>
          <w:p w:rsidR="005F5335" w:rsidRDefault="005F5335" w:rsidP="005F5335">
            <w:pPr>
              <w:jc w:val="right"/>
              <w:rPr>
                <w:rFonts w:ascii="Calibri" w:hAnsi="Calibri" w:cs="Calibri"/>
                <w:color w:val="000000"/>
                <w:szCs w:val="22"/>
              </w:rPr>
            </w:pPr>
            <w:r>
              <w:rPr>
                <w:rFonts w:ascii="Calibri" w:hAnsi="Calibri" w:cs="Calibri"/>
                <w:color w:val="000000"/>
                <w:szCs w:val="22"/>
              </w:rPr>
              <w:t>50.0%</w:t>
            </w:r>
          </w:p>
        </w:tc>
        <w:tc>
          <w:tcPr>
            <w:tcW w:w="1208" w:type="dxa"/>
          </w:tcPr>
          <w:p w:rsidR="005F5335" w:rsidRPr="002964E2" w:rsidRDefault="005F5335" w:rsidP="005F5335">
            <w:r w:rsidRPr="002964E2">
              <w:t>43.3%</w:t>
            </w:r>
          </w:p>
        </w:tc>
      </w:tr>
      <w:tr w:rsidR="005F5335" w:rsidTr="005F5335">
        <w:tc>
          <w:tcPr>
            <w:tcW w:w="1203" w:type="dxa"/>
          </w:tcPr>
          <w:p w:rsidR="005F5335" w:rsidRDefault="005F5335" w:rsidP="005F5335">
            <w:pPr>
              <w:rPr>
                <w:rFonts w:ascii="Calibri" w:hAnsi="Calibri" w:cs="ArialNarrow"/>
              </w:rPr>
            </w:pPr>
            <w:r>
              <w:rPr>
                <w:rFonts w:ascii="Calibri" w:hAnsi="Calibri" w:cs="ArialNarrow"/>
              </w:rPr>
              <w:t>December</w:t>
            </w:r>
          </w:p>
        </w:tc>
        <w:tc>
          <w:tcPr>
            <w:tcW w:w="1208" w:type="dxa"/>
          </w:tcPr>
          <w:p w:rsidR="005F5335" w:rsidRPr="00201B32" w:rsidRDefault="005F5335" w:rsidP="005F5335">
            <w:pPr>
              <w:jc w:val="right"/>
            </w:pPr>
            <w:r w:rsidRPr="00201B32">
              <w:t>61.3%</w:t>
            </w:r>
          </w:p>
        </w:tc>
        <w:tc>
          <w:tcPr>
            <w:tcW w:w="1208" w:type="dxa"/>
            <w:vAlign w:val="bottom"/>
          </w:tcPr>
          <w:p w:rsidR="005F5335" w:rsidRDefault="005F5335" w:rsidP="005F5335">
            <w:pPr>
              <w:jc w:val="right"/>
              <w:rPr>
                <w:rFonts w:ascii="Calibri" w:hAnsi="Calibri" w:cs="Calibri"/>
                <w:color w:val="000000"/>
              </w:rPr>
            </w:pPr>
            <w:r>
              <w:rPr>
                <w:rFonts w:ascii="Calibri" w:hAnsi="Calibri" w:cs="Calibri"/>
                <w:color w:val="000000"/>
              </w:rPr>
              <w:t>71.0%</w:t>
            </w:r>
          </w:p>
        </w:tc>
        <w:tc>
          <w:tcPr>
            <w:tcW w:w="1208" w:type="dxa"/>
          </w:tcPr>
          <w:p w:rsidR="005F5335" w:rsidRDefault="005F5335" w:rsidP="005F5335">
            <w:pPr>
              <w:jc w:val="right"/>
              <w:rPr>
                <w:rFonts w:ascii="Calibri" w:hAnsi="Calibri" w:cs="Calibri"/>
                <w:color w:val="000000"/>
              </w:rPr>
            </w:pPr>
            <w:r>
              <w:rPr>
                <w:rFonts w:ascii="Calibri" w:hAnsi="Calibri" w:cs="Calibri"/>
                <w:color w:val="000000"/>
              </w:rPr>
              <w:t>0</w:t>
            </w:r>
          </w:p>
        </w:tc>
        <w:tc>
          <w:tcPr>
            <w:tcW w:w="1208" w:type="dxa"/>
            <w:vAlign w:val="bottom"/>
          </w:tcPr>
          <w:p w:rsidR="005F5335" w:rsidRDefault="005F5335" w:rsidP="005F5335">
            <w:pPr>
              <w:jc w:val="right"/>
              <w:rPr>
                <w:rFonts w:ascii="Calibri" w:hAnsi="Calibri" w:cs="Calibri"/>
                <w:color w:val="000000"/>
                <w:szCs w:val="22"/>
              </w:rPr>
            </w:pPr>
            <w:r>
              <w:rPr>
                <w:rFonts w:ascii="Calibri" w:hAnsi="Calibri" w:cs="Calibri"/>
                <w:color w:val="000000"/>
                <w:szCs w:val="22"/>
              </w:rPr>
              <w:t>32.3%</w:t>
            </w:r>
          </w:p>
        </w:tc>
        <w:tc>
          <w:tcPr>
            <w:tcW w:w="1208" w:type="dxa"/>
          </w:tcPr>
          <w:p w:rsidR="005F5335" w:rsidRPr="002964E2" w:rsidRDefault="005F5335" w:rsidP="005F5335">
            <w:r w:rsidRPr="002964E2">
              <w:t>58.1%</w:t>
            </w:r>
          </w:p>
        </w:tc>
      </w:tr>
      <w:tr w:rsidR="005F5335" w:rsidTr="005F5335">
        <w:tc>
          <w:tcPr>
            <w:tcW w:w="1203" w:type="dxa"/>
          </w:tcPr>
          <w:p w:rsidR="005F5335" w:rsidRDefault="005F5335" w:rsidP="005F5335">
            <w:pPr>
              <w:rPr>
                <w:rFonts w:ascii="Calibri" w:hAnsi="Calibri" w:cs="ArialNarrow"/>
              </w:rPr>
            </w:pPr>
            <w:r>
              <w:rPr>
                <w:rFonts w:ascii="Calibri" w:hAnsi="Calibri" w:cs="ArialNarrow"/>
              </w:rPr>
              <w:t xml:space="preserve">January </w:t>
            </w:r>
          </w:p>
        </w:tc>
        <w:tc>
          <w:tcPr>
            <w:tcW w:w="1208" w:type="dxa"/>
          </w:tcPr>
          <w:p w:rsidR="005F5335" w:rsidRPr="00201B32" w:rsidRDefault="005F5335" w:rsidP="005F5335">
            <w:pPr>
              <w:jc w:val="right"/>
            </w:pPr>
            <w:r w:rsidRPr="00201B32">
              <w:t>0.0%</w:t>
            </w:r>
          </w:p>
        </w:tc>
        <w:tc>
          <w:tcPr>
            <w:tcW w:w="1208" w:type="dxa"/>
            <w:vAlign w:val="bottom"/>
          </w:tcPr>
          <w:p w:rsidR="005F5335" w:rsidRDefault="005F5335" w:rsidP="005F5335">
            <w:pPr>
              <w:jc w:val="right"/>
              <w:rPr>
                <w:rFonts w:ascii="Calibri" w:hAnsi="Calibri" w:cs="Calibri"/>
                <w:color w:val="000000"/>
              </w:rPr>
            </w:pPr>
            <w:r>
              <w:rPr>
                <w:rFonts w:ascii="Calibri" w:hAnsi="Calibri" w:cs="Calibri"/>
                <w:color w:val="000000"/>
              </w:rPr>
              <w:t>45.2%</w:t>
            </w:r>
          </w:p>
        </w:tc>
        <w:tc>
          <w:tcPr>
            <w:tcW w:w="1208" w:type="dxa"/>
          </w:tcPr>
          <w:p w:rsidR="005F5335" w:rsidRDefault="005F5335" w:rsidP="005F5335">
            <w:pPr>
              <w:jc w:val="right"/>
              <w:rPr>
                <w:rFonts w:ascii="Calibri" w:hAnsi="Calibri" w:cs="Calibri"/>
                <w:color w:val="000000"/>
              </w:rPr>
            </w:pPr>
            <w:r>
              <w:rPr>
                <w:rFonts w:ascii="Calibri" w:hAnsi="Calibri" w:cs="Calibri"/>
                <w:color w:val="000000"/>
              </w:rPr>
              <w:t>0</w:t>
            </w:r>
          </w:p>
        </w:tc>
        <w:tc>
          <w:tcPr>
            <w:tcW w:w="1208" w:type="dxa"/>
            <w:vAlign w:val="bottom"/>
          </w:tcPr>
          <w:p w:rsidR="005F5335" w:rsidRDefault="005F5335" w:rsidP="005F5335">
            <w:pPr>
              <w:jc w:val="right"/>
              <w:rPr>
                <w:rFonts w:ascii="Calibri" w:hAnsi="Calibri" w:cs="Calibri"/>
                <w:color w:val="000000"/>
                <w:szCs w:val="22"/>
              </w:rPr>
            </w:pPr>
            <w:r>
              <w:rPr>
                <w:rFonts w:ascii="Calibri" w:hAnsi="Calibri" w:cs="Calibri"/>
                <w:color w:val="000000"/>
                <w:szCs w:val="22"/>
              </w:rPr>
              <w:t>61.3%</w:t>
            </w:r>
          </w:p>
        </w:tc>
        <w:tc>
          <w:tcPr>
            <w:tcW w:w="1208" w:type="dxa"/>
          </w:tcPr>
          <w:p w:rsidR="005F5335" w:rsidRPr="002964E2" w:rsidRDefault="005F5335" w:rsidP="005F5335">
            <w:r w:rsidRPr="002964E2">
              <w:t>12.9%</w:t>
            </w:r>
          </w:p>
        </w:tc>
      </w:tr>
      <w:tr w:rsidR="005F5335" w:rsidTr="005F5335">
        <w:tc>
          <w:tcPr>
            <w:tcW w:w="1203" w:type="dxa"/>
          </w:tcPr>
          <w:p w:rsidR="005F5335" w:rsidRDefault="005F5335" w:rsidP="005F5335">
            <w:pPr>
              <w:rPr>
                <w:rFonts w:ascii="Calibri" w:hAnsi="Calibri" w:cs="ArialNarrow"/>
              </w:rPr>
            </w:pPr>
            <w:r>
              <w:rPr>
                <w:rFonts w:ascii="Calibri" w:hAnsi="Calibri" w:cs="ArialNarrow"/>
              </w:rPr>
              <w:t>February</w:t>
            </w:r>
          </w:p>
        </w:tc>
        <w:tc>
          <w:tcPr>
            <w:tcW w:w="1208" w:type="dxa"/>
          </w:tcPr>
          <w:p w:rsidR="005F5335" w:rsidRPr="00201B32" w:rsidRDefault="005F5335" w:rsidP="005F5335">
            <w:pPr>
              <w:jc w:val="right"/>
            </w:pPr>
            <w:r w:rsidRPr="00201B32">
              <w:t>25.0%</w:t>
            </w:r>
          </w:p>
        </w:tc>
        <w:tc>
          <w:tcPr>
            <w:tcW w:w="1208" w:type="dxa"/>
            <w:vAlign w:val="bottom"/>
          </w:tcPr>
          <w:p w:rsidR="005F5335" w:rsidRDefault="005F5335" w:rsidP="005F5335">
            <w:pPr>
              <w:jc w:val="right"/>
              <w:rPr>
                <w:rFonts w:ascii="Calibri" w:hAnsi="Calibri" w:cs="Calibri"/>
                <w:color w:val="000000"/>
              </w:rPr>
            </w:pPr>
            <w:r>
              <w:rPr>
                <w:rFonts w:ascii="Calibri" w:hAnsi="Calibri" w:cs="Calibri"/>
                <w:color w:val="000000"/>
              </w:rPr>
              <w:t>82.1%</w:t>
            </w:r>
          </w:p>
        </w:tc>
        <w:tc>
          <w:tcPr>
            <w:tcW w:w="1208" w:type="dxa"/>
          </w:tcPr>
          <w:p w:rsidR="005F5335" w:rsidRDefault="005F5335" w:rsidP="005F5335">
            <w:pPr>
              <w:jc w:val="right"/>
              <w:rPr>
                <w:rFonts w:ascii="Calibri" w:hAnsi="Calibri" w:cs="Calibri"/>
                <w:color w:val="000000"/>
              </w:rPr>
            </w:pPr>
            <w:r>
              <w:rPr>
                <w:rFonts w:ascii="Calibri" w:hAnsi="Calibri" w:cs="Calibri"/>
                <w:color w:val="000000"/>
              </w:rPr>
              <w:t>25%</w:t>
            </w:r>
          </w:p>
        </w:tc>
        <w:tc>
          <w:tcPr>
            <w:tcW w:w="1208" w:type="dxa"/>
            <w:vAlign w:val="bottom"/>
          </w:tcPr>
          <w:p w:rsidR="005F5335" w:rsidRDefault="005F5335" w:rsidP="005F5335">
            <w:pPr>
              <w:jc w:val="right"/>
              <w:rPr>
                <w:rFonts w:ascii="Calibri" w:hAnsi="Calibri" w:cs="Calibri"/>
                <w:color w:val="000000"/>
                <w:szCs w:val="22"/>
              </w:rPr>
            </w:pPr>
            <w:r>
              <w:rPr>
                <w:rFonts w:ascii="Calibri" w:hAnsi="Calibri" w:cs="Calibri"/>
                <w:color w:val="000000"/>
                <w:szCs w:val="22"/>
              </w:rPr>
              <w:t>0</w:t>
            </w:r>
          </w:p>
        </w:tc>
        <w:tc>
          <w:tcPr>
            <w:tcW w:w="1208" w:type="dxa"/>
          </w:tcPr>
          <w:p w:rsidR="005F5335" w:rsidRPr="002964E2" w:rsidRDefault="005F5335" w:rsidP="005F5335">
            <w:r w:rsidRPr="002964E2">
              <w:t>28.6%</w:t>
            </w:r>
          </w:p>
        </w:tc>
      </w:tr>
      <w:tr w:rsidR="005F5335" w:rsidTr="005F5335">
        <w:tc>
          <w:tcPr>
            <w:tcW w:w="1203" w:type="dxa"/>
          </w:tcPr>
          <w:p w:rsidR="005F5335" w:rsidRDefault="005F5335" w:rsidP="005F5335">
            <w:pPr>
              <w:rPr>
                <w:rFonts w:ascii="Calibri" w:hAnsi="Calibri" w:cs="ArialNarrow"/>
              </w:rPr>
            </w:pPr>
            <w:r>
              <w:rPr>
                <w:rFonts w:ascii="Calibri" w:hAnsi="Calibri" w:cs="ArialNarrow"/>
              </w:rPr>
              <w:t>March</w:t>
            </w:r>
          </w:p>
        </w:tc>
        <w:tc>
          <w:tcPr>
            <w:tcW w:w="1208" w:type="dxa"/>
          </w:tcPr>
          <w:p w:rsidR="005F5335" w:rsidRPr="00201B32" w:rsidRDefault="005F5335" w:rsidP="005F5335">
            <w:pPr>
              <w:jc w:val="right"/>
            </w:pPr>
            <w:r w:rsidRPr="00201B32">
              <w:t>19.4%</w:t>
            </w:r>
          </w:p>
        </w:tc>
        <w:tc>
          <w:tcPr>
            <w:tcW w:w="1208" w:type="dxa"/>
            <w:vAlign w:val="bottom"/>
          </w:tcPr>
          <w:p w:rsidR="005F5335" w:rsidRDefault="005F5335" w:rsidP="005F5335">
            <w:pPr>
              <w:jc w:val="right"/>
              <w:rPr>
                <w:rFonts w:ascii="Calibri" w:hAnsi="Calibri" w:cs="Calibri"/>
                <w:color w:val="000000"/>
              </w:rPr>
            </w:pPr>
            <w:r>
              <w:rPr>
                <w:rFonts w:ascii="Calibri" w:hAnsi="Calibri" w:cs="Calibri"/>
                <w:color w:val="000000"/>
              </w:rPr>
              <w:t>45.2%</w:t>
            </w:r>
          </w:p>
        </w:tc>
        <w:tc>
          <w:tcPr>
            <w:tcW w:w="1208" w:type="dxa"/>
          </w:tcPr>
          <w:p w:rsidR="005F5335" w:rsidRDefault="005F5335" w:rsidP="005F5335">
            <w:pPr>
              <w:jc w:val="right"/>
              <w:rPr>
                <w:rFonts w:ascii="Calibri" w:hAnsi="Calibri" w:cs="Calibri"/>
                <w:color w:val="000000"/>
              </w:rPr>
            </w:pPr>
            <w:r>
              <w:rPr>
                <w:rFonts w:ascii="Calibri" w:hAnsi="Calibri" w:cs="Calibri"/>
                <w:color w:val="000000"/>
              </w:rPr>
              <w:t>0</w:t>
            </w:r>
          </w:p>
        </w:tc>
        <w:tc>
          <w:tcPr>
            <w:tcW w:w="1208" w:type="dxa"/>
            <w:vAlign w:val="bottom"/>
          </w:tcPr>
          <w:p w:rsidR="005F5335" w:rsidRDefault="005F5335" w:rsidP="005F5335">
            <w:pPr>
              <w:jc w:val="right"/>
              <w:rPr>
                <w:rFonts w:ascii="Calibri" w:hAnsi="Calibri" w:cs="Calibri"/>
                <w:color w:val="000000"/>
                <w:szCs w:val="22"/>
              </w:rPr>
            </w:pPr>
            <w:r>
              <w:rPr>
                <w:rFonts w:ascii="Calibri" w:hAnsi="Calibri" w:cs="Calibri"/>
                <w:color w:val="000000"/>
                <w:szCs w:val="22"/>
              </w:rPr>
              <w:t>22.6%</w:t>
            </w:r>
          </w:p>
        </w:tc>
        <w:tc>
          <w:tcPr>
            <w:tcW w:w="1208" w:type="dxa"/>
          </w:tcPr>
          <w:p w:rsidR="005F5335" w:rsidRDefault="005F5335" w:rsidP="005F5335">
            <w:r w:rsidRPr="002964E2">
              <w:t>45.2%</w:t>
            </w:r>
          </w:p>
        </w:tc>
      </w:tr>
      <w:tr w:rsidR="005F5335" w:rsidTr="005F5335">
        <w:tc>
          <w:tcPr>
            <w:tcW w:w="1203" w:type="dxa"/>
          </w:tcPr>
          <w:p w:rsidR="005F5335" w:rsidRPr="00575ED1" w:rsidRDefault="005F5335" w:rsidP="003653F0">
            <w:pPr>
              <w:rPr>
                <w:rFonts w:ascii="Calibri" w:hAnsi="Calibri" w:cs="ArialNarrow"/>
                <w:b/>
              </w:rPr>
            </w:pPr>
            <w:r w:rsidRPr="00575ED1">
              <w:rPr>
                <w:rFonts w:ascii="Calibri" w:hAnsi="Calibri" w:cs="ArialNarrow"/>
                <w:b/>
              </w:rPr>
              <w:t xml:space="preserve">Total </w:t>
            </w:r>
          </w:p>
        </w:tc>
        <w:tc>
          <w:tcPr>
            <w:tcW w:w="1208" w:type="dxa"/>
          </w:tcPr>
          <w:p w:rsidR="005F5335" w:rsidRPr="0087268C" w:rsidRDefault="005F5335" w:rsidP="003653F0">
            <w:pPr>
              <w:jc w:val="right"/>
              <w:rPr>
                <w:b/>
              </w:rPr>
            </w:pPr>
            <w:r w:rsidRPr="0087268C">
              <w:rPr>
                <w:b/>
              </w:rPr>
              <w:t>38.6%</w:t>
            </w:r>
          </w:p>
        </w:tc>
        <w:tc>
          <w:tcPr>
            <w:tcW w:w="1208" w:type="dxa"/>
          </w:tcPr>
          <w:p w:rsidR="005F5335" w:rsidRDefault="005F5335" w:rsidP="003653F0">
            <w:pPr>
              <w:jc w:val="right"/>
              <w:rPr>
                <w:rFonts w:ascii="Calibri" w:hAnsi="Calibri" w:cs="ArialNarrow"/>
                <w:b/>
              </w:rPr>
            </w:pPr>
            <w:r>
              <w:rPr>
                <w:rFonts w:ascii="Calibri" w:hAnsi="Calibri" w:cs="ArialNarrow"/>
                <w:b/>
              </w:rPr>
              <w:t>47.4%</w:t>
            </w:r>
          </w:p>
        </w:tc>
        <w:tc>
          <w:tcPr>
            <w:tcW w:w="1208" w:type="dxa"/>
          </w:tcPr>
          <w:p w:rsidR="005F5335" w:rsidRDefault="005F5335" w:rsidP="003653F0">
            <w:pPr>
              <w:jc w:val="right"/>
              <w:rPr>
                <w:rFonts w:ascii="Calibri" w:hAnsi="Calibri" w:cs="ArialNarrow"/>
                <w:b/>
              </w:rPr>
            </w:pPr>
            <w:r>
              <w:rPr>
                <w:rFonts w:ascii="Calibri" w:hAnsi="Calibri" w:cs="ArialNarrow"/>
                <w:b/>
              </w:rPr>
              <w:t>2.1%</w:t>
            </w:r>
          </w:p>
        </w:tc>
        <w:tc>
          <w:tcPr>
            <w:tcW w:w="1208" w:type="dxa"/>
          </w:tcPr>
          <w:p w:rsidR="005F5335" w:rsidRDefault="005F5335" w:rsidP="003653F0">
            <w:pPr>
              <w:jc w:val="right"/>
              <w:rPr>
                <w:rFonts w:ascii="Calibri" w:hAnsi="Calibri" w:cs="ArialNarrow"/>
                <w:b/>
              </w:rPr>
            </w:pPr>
            <w:r>
              <w:rPr>
                <w:rFonts w:ascii="Calibri" w:hAnsi="Calibri" w:cs="ArialNarrow"/>
                <w:b/>
              </w:rPr>
              <w:t>37.8%</w:t>
            </w:r>
          </w:p>
        </w:tc>
        <w:tc>
          <w:tcPr>
            <w:tcW w:w="1208" w:type="dxa"/>
          </w:tcPr>
          <w:p w:rsidR="005F5335" w:rsidRDefault="005F5335" w:rsidP="005F5335">
            <w:pPr>
              <w:jc w:val="center"/>
              <w:rPr>
                <w:rFonts w:ascii="Calibri" w:hAnsi="Calibri" w:cs="ArialNarrow"/>
                <w:b/>
              </w:rPr>
            </w:pPr>
            <w:r>
              <w:rPr>
                <w:rFonts w:ascii="Calibri" w:hAnsi="Calibri" w:cs="ArialNarrow"/>
                <w:b/>
              </w:rPr>
              <w:t>45.5%</w:t>
            </w:r>
          </w:p>
        </w:tc>
      </w:tr>
    </w:tbl>
    <w:p w:rsidR="007C02F8" w:rsidRPr="00E539DC" w:rsidRDefault="007C02F8" w:rsidP="007C02F8">
      <w:pPr>
        <w:spacing w:after="200" w:line="276" w:lineRule="auto"/>
        <w:rPr>
          <w:rFonts w:cstheme="minorBidi"/>
          <w:b/>
          <w:sz w:val="24"/>
          <w:szCs w:val="22"/>
        </w:rPr>
      </w:pPr>
      <w:r>
        <w:rPr>
          <w:rFonts w:ascii="Calibri" w:hAnsi="Calibri" w:cs="ArialNarrow"/>
        </w:rPr>
        <w:br w:type="page"/>
      </w:r>
      <w:r w:rsidR="000D12E5" w:rsidRPr="00027301">
        <w:rPr>
          <w:rFonts w:ascii="Calibri" w:hAnsi="Calibri" w:cs="ArialNarrow"/>
          <w:b/>
          <w:sz w:val="24"/>
        </w:rPr>
        <w:t>2</w:t>
      </w:r>
      <w:r w:rsidRPr="00027301">
        <w:rPr>
          <w:rFonts w:cstheme="minorBidi"/>
          <w:b/>
          <w:sz w:val="24"/>
        </w:rPr>
        <w:t>.0</w:t>
      </w:r>
      <w:r>
        <w:rPr>
          <w:rFonts w:cstheme="minorBidi"/>
          <w:b/>
          <w:sz w:val="24"/>
          <w:szCs w:val="22"/>
        </w:rPr>
        <w:tab/>
        <w:t>Shoreham Village</w:t>
      </w:r>
      <w:r w:rsidRPr="00E539DC">
        <w:rPr>
          <w:rFonts w:cstheme="minorBidi"/>
          <w:b/>
          <w:sz w:val="24"/>
          <w:szCs w:val="22"/>
        </w:rPr>
        <w:t xml:space="preserve"> - Resident</w:t>
      </w:r>
      <w:r w:rsidRPr="00E539DC">
        <w:rPr>
          <w:rFonts w:cstheme="minorBidi"/>
          <w:b/>
          <w:bCs/>
          <w:i/>
          <w:iCs/>
          <w:sz w:val="24"/>
          <w:szCs w:val="22"/>
        </w:rPr>
        <w:t xml:space="preserve"> </w:t>
      </w:r>
      <w:r w:rsidRPr="00E539DC">
        <w:rPr>
          <w:rFonts w:cstheme="minorBidi"/>
          <w:b/>
          <w:sz w:val="24"/>
          <w:szCs w:val="22"/>
        </w:rPr>
        <w:t xml:space="preserve">Incidents – </w:t>
      </w:r>
      <w:r w:rsidR="0087268C">
        <w:rPr>
          <w:b/>
        </w:rPr>
        <w:t>Q</w:t>
      </w:r>
      <w:r w:rsidR="00336B28">
        <w:rPr>
          <w:b/>
        </w:rPr>
        <w:t>4</w:t>
      </w:r>
      <w:r w:rsidR="0087268C">
        <w:rPr>
          <w:b/>
        </w:rPr>
        <w:t xml:space="preserve"> </w:t>
      </w:r>
      <w:r w:rsidR="00336B28">
        <w:rPr>
          <w:b/>
        </w:rPr>
        <w:t>Jan</w:t>
      </w:r>
      <w:r w:rsidR="00F92E60">
        <w:rPr>
          <w:b/>
        </w:rPr>
        <w:t xml:space="preserve"> </w:t>
      </w:r>
      <w:r w:rsidR="0087268C">
        <w:rPr>
          <w:b/>
        </w:rPr>
        <w:t xml:space="preserve">- </w:t>
      </w:r>
      <w:r w:rsidR="00336B28">
        <w:rPr>
          <w:b/>
        </w:rPr>
        <w:t>March</w:t>
      </w:r>
      <w:r w:rsidR="00755211">
        <w:rPr>
          <w:b/>
        </w:rPr>
        <w:t xml:space="preserve"> 202</w:t>
      </w:r>
      <w:r w:rsidR="00260D86">
        <w:rPr>
          <w:b/>
        </w:rPr>
        <w:t>2</w:t>
      </w:r>
      <w:r w:rsidR="0087268C">
        <w:rPr>
          <w:b/>
        </w:rPr>
        <w:t>/2</w:t>
      </w:r>
      <w:r w:rsidR="00260D86">
        <w:rPr>
          <w:b/>
        </w:rPr>
        <w:t>3</w:t>
      </w:r>
    </w:p>
    <w:tbl>
      <w:tblPr>
        <w:tblW w:w="10075" w:type="dxa"/>
        <w:jc w:val="center"/>
        <w:tblLayout w:type="fixed"/>
        <w:tblLook w:val="04A0" w:firstRow="1" w:lastRow="0" w:firstColumn="1" w:lastColumn="0" w:noHBand="0" w:noVBand="1"/>
      </w:tblPr>
      <w:tblGrid>
        <w:gridCol w:w="4271"/>
        <w:gridCol w:w="1135"/>
        <w:gridCol w:w="1187"/>
        <w:gridCol w:w="1159"/>
        <w:gridCol w:w="1080"/>
        <w:gridCol w:w="1243"/>
      </w:tblGrid>
      <w:tr w:rsidR="002A3CF7" w:rsidRPr="00F05E23" w:rsidTr="002C178F">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hideMark/>
          </w:tcPr>
          <w:p w:rsidR="002A3CF7" w:rsidRPr="00F05E23" w:rsidRDefault="002A3CF7" w:rsidP="002A3CF7">
            <w:pPr>
              <w:rPr>
                <w:rFonts w:ascii="Calibri" w:hAnsi="Calibri"/>
                <w:b/>
                <w:bCs/>
                <w:color w:val="000000"/>
              </w:rPr>
            </w:pPr>
            <w:r w:rsidRPr="00F05E23">
              <w:rPr>
                <w:rFonts w:ascii="Calibri" w:hAnsi="Calibri"/>
                <w:b/>
                <w:bCs/>
                <w:color w:val="000000"/>
                <w:szCs w:val="22"/>
              </w:rPr>
              <w:t>Total # of Incidents Per Quarter</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CF7" w:rsidRDefault="002A3CF7" w:rsidP="002A3CF7">
            <w:pPr>
              <w:ind w:right="158"/>
              <w:jc w:val="center"/>
              <w:rPr>
                <w:rFonts w:ascii="Calibri" w:hAnsi="Calibri"/>
                <w:b/>
                <w:bCs/>
                <w:color w:val="000000"/>
                <w:sz w:val="20"/>
                <w:szCs w:val="20"/>
              </w:rPr>
            </w:pPr>
            <w:r w:rsidRPr="008E070D">
              <w:rPr>
                <w:rFonts w:ascii="Calibri" w:hAnsi="Calibri"/>
                <w:b/>
                <w:bCs/>
                <w:color w:val="000000"/>
                <w:sz w:val="20"/>
                <w:szCs w:val="20"/>
              </w:rPr>
              <w:t>Q</w:t>
            </w:r>
            <w:r w:rsidR="00336B28">
              <w:rPr>
                <w:rFonts w:ascii="Calibri" w:hAnsi="Calibri"/>
                <w:b/>
                <w:bCs/>
                <w:color w:val="000000"/>
                <w:sz w:val="20"/>
                <w:szCs w:val="20"/>
              </w:rPr>
              <w:t>4</w:t>
            </w:r>
          </w:p>
          <w:p w:rsidR="002A3CF7" w:rsidRPr="008E070D" w:rsidRDefault="00D865FD" w:rsidP="00B02B1F">
            <w:pPr>
              <w:ind w:right="158"/>
              <w:jc w:val="center"/>
              <w:rPr>
                <w:rFonts w:ascii="Calibri" w:hAnsi="Calibri"/>
                <w:b/>
                <w:bCs/>
                <w:color w:val="000000"/>
                <w:sz w:val="20"/>
                <w:szCs w:val="20"/>
              </w:rPr>
            </w:pPr>
            <w:r>
              <w:rPr>
                <w:rFonts w:ascii="Calibri" w:hAnsi="Calibri"/>
                <w:b/>
                <w:bCs/>
                <w:color w:val="000000"/>
                <w:sz w:val="20"/>
                <w:szCs w:val="20"/>
              </w:rPr>
              <w:t>202</w:t>
            </w:r>
            <w:r w:rsidR="00260D86">
              <w:rPr>
                <w:rFonts w:ascii="Calibri" w:hAnsi="Calibri"/>
                <w:b/>
                <w:bCs/>
                <w:color w:val="000000"/>
                <w:sz w:val="20"/>
                <w:szCs w:val="20"/>
              </w:rPr>
              <w:t>1</w:t>
            </w:r>
            <w:r>
              <w:rPr>
                <w:rFonts w:ascii="Calibri" w:hAnsi="Calibri"/>
                <w:b/>
                <w:bCs/>
                <w:color w:val="000000"/>
                <w:sz w:val="20"/>
                <w:szCs w:val="20"/>
              </w:rPr>
              <w:t>/2</w:t>
            </w:r>
            <w:r w:rsidR="00260D86">
              <w:rPr>
                <w:rFonts w:ascii="Calibri" w:hAnsi="Calibri"/>
                <w:b/>
                <w:bCs/>
                <w:color w:val="000000"/>
                <w:sz w:val="20"/>
                <w:szCs w:val="20"/>
              </w:rPr>
              <w:t>2</w:t>
            </w:r>
          </w:p>
        </w:tc>
        <w:tc>
          <w:tcPr>
            <w:tcW w:w="1187" w:type="dxa"/>
            <w:tcBorders>
              <w:top w:val="single" w:sz="4" w:space="0" w:color="auto"/>
              <w:left w:val="single" w:sz="4" w:space="0" w:color="auto"/>
              <w:bottom w:val="single" w:sz="4" w:space="0" w:color="auto"/>
              <w:right w:val="single" w:sz="4" w:space="0" w:color="auto"/>
            </w:tcBorders>
          </w:tcPr>
          <w:p w:rsidR="002A3CF7" w:rsidRDefault="002A3CF7" w:rsidP="002A3CF7">
            <w:pPr>
              <w:ind w:right="158"/>
              <w:jc w:val="center"/>
              <w:rPr>
                <w:rFonts w:ascii="Calibri" w:hAnsi="Calibri"/>
                <w:b/>
                <w:bCs/>
                <w:color w:val="000000"/>
                <w:sz w:val="20"/>
                <w:szCs w:val="20"/>
              </w:rPr>
            </w:pPr>
            <w:r w:rsidRPr="008E070D">
              <w:rPr>
                <w:rFonts w:ascii="Calibri" w:hAnsi="Calibri"/>
                <w:b/>
                <w:bCs/>
                <w:color w:val="000000"/>
                <w:sz w:val="20"/>
                <w:szCs w:val="20"/>
              </w:rPr>
              <w:t>Q1</w:t>
            </w:r>
          </w:p>
          <w:p w:rsidR="002A3CF7" w:rsidRPr="008E070D" w:rsidRDefault="00260D86" w:rsidP="002A3CF7">
            <w:pPr>
              <w:ind w:right="158"/>
              <w:jc w:val="center"/>
              <w:rPr>
                <w:rFonts w:ascii="Calibri" w:hAnsi="Calibri"/>
                <w:b/>
                <w:bCs/>
                <w:color w:val="000000"/>
                <w:sz w:val="20"/>
                <w:szCs w:val="20"/>
              </w:rPr>
            </w:pPr>
            <w:r>
              <w:rPr>
                <w:rFonts w:ascii="Calibri" w:hAnsi="Calibri"/>
                <w:b/>
                <w:bCs/>
                <w:color w:val="000000"/>
                <w:sz w:val="20"/>
                <w:szCs w:val="20"/>
              </w:rPr>
              <w:t>2022/23</w:t>
            </w:r>
          </w:p>
        </w:tc>
        <w:tc>
          <w:tcPr>
            <w:tcW w:w="1159" w:type="dxa"/>
            <w:tcBorders>
              <w:top w:val="single" w:sz="4" w:space="0" w:color="auto"/>
              <w:left w:val="single" w:sz="4" w:space="0" w:color="auto"/>
              <w:bottom w:val="single" w:sz="4" w:space="0" w:color="auto"/>
              <w:right w:val="single" w:sz="4" w:space="0" w:color="auto"/>
            </w:tcBorders>
          </w:tcPr>
          <w:p w:rsidR="002A3CF7" w:rsidRDefault="002A3CF7" w:rsidP="002A3CF7">
            <w:pPr>
              <w:ind w:left="-108" w:right="162"/>
              <w:jc w:val="center"/>
              <w:rPr>
                <w:rFonts w:ascii="Calibri" w:hAnsi="Calibri"/>
                <w:b/>
                <w:bCs/>
                <w:color w:val="000000"/>
                <w:sz w:val="20"/>
                <w:szCs w:val="20"/>
              </w:rPr>
            </w:pPr>
            <w:r w:rsidRPr="008E070D">
              <w:rPr>
                <w:rFonts w:ascii="Calibri" w:hAnsi="Calibri"/>
                <w:b/>
                <w:bCs/>
                <w:color w:val="000000"/>
                <w:sz w:val="20"/>
                <w:szCs w:val="20"/>
              </w:rPr>
              <w:t>Q2</w:t>
            </w:r>
          </w:p>
          <w:p w:rsidR="002A3CF7" w:rsidRPr="008E070D" w:rsidRDefault="00260D86" w:rsidP="002A3CF7">
            <w:pPr>
              <w:ind w:right="162"/>
              <w:jc w:val="center"/>
              <w:rPr>
                <w:rFonts w:ascii="Calibri" w:hAnsi="Calibri"/>
                <w:b/>
                <w:bCs/>
                <w:color w:val="000000"/>
                <w:sz w:val="20"/>
                <w:szCs w:val="20"/>
              </w:rPr>
            </w:pPr>
            <w:r>
              <w:rPr>
                <w:rFonts w:ascii="Calibri" w:hAnsi="Calibri"/>
                <w:b/>
                <w:bCs/>
                <w:color w:val="000000"/>
                <w:sz w:val="20"/>
                <w:szCs w:val="20"/>
              </w:rPr>
              <w:t>2022/23</w:t>
            </w:r>
          </w:p>
        </w:tc>
        <w:tc>
          <w:tcPr>
            <w:tcW w:w="1080" w:type="dxa"/>
            <w:tcBorders>
              <w:top w:val="single" w:sz="4" w:space="0" w:color="auto"/>
              <w:left w:val="single" w:sz="4" w:space="0" w:color="auto"/>
              <w:bottom w:val="single" w:sz="4" w:space="0" w:color="auto"/>
              <w:right w:val="single" w:sz="4" w:space="0" w:color="auto"/>
            </w:tcBorders>
          </w:tcPr>
          <w:p w:rsidR="002A3CF7" w:rsidRDefault="002A3CF7" w:rsidP="002A3CF7">
            <w:pPr>
              <w:ind w:left="-3" w:right="162"/>
              <w:jc w:val="center"/>
              <w:rPr>
                <w:rFonts w:ascii="Calibri" w:hAnsi="Calibri"/>
                <w:b/>
                <w:bCs/>
                <w:color w:val="000000"/>
                <w:sz w:val="20"/>
                <w:szCs w:val="20"/>
              </w:rPr>
            </w:pPr>
            <w:r>
              <w:rPr>
                <w:rFonts w:ascii="Calibri" w:hAnsi="Calibri"/>
                <w:b/>
                <w:bCs/>
                <w:color w:val="000000"/>
                <w:sz w:val="20"/>
                <w:szCs w:val="20"/>
              </w:rPr>
              <w:t>Q3</w:t>
            </w:r>
          </w:p>
          <w:p w:rsidR="002A3CF7" w:rsidRPr="008E070D" w:rsidRDefault="00260D86" w:rsidP="002A3CF7">
            <w:pPr>
              <w:ind w:left="-3" w:right="162"/>
              <w:jc w:val="center"/>
              <w:rPr>
                <w:rFonts w:ascii="Calibri" w:hAnsi="Calibri"/>
                <w:b/>
                <w:bCs/>
                <w:color w:val="000000"/>
                <w:sz w:val="20"/>
                <w:szCs w:val="20"/>
              </w:rPr>
            </w:pPr>
            <w:r>
              <w:rPr>
                <w:rFonts w:ascii="Calibri" w:hAnsi="Calibri"/>
                <w:b/>
                <w:bCs/>
                <w:color w:val="000000"/>
                <w:sz w:val="20"/>
                <w:szCs w:val="20"/>
              </w:rPr>
              <w:t>2022/23</w:t>
            </w:r>
          </w:p>
        </w:tc>
        <w:tc>
          <w:tcPr>
            <w:tcW w:w="1243" w:type="dxa"/>
            <w:tcBorders>
              <w:top w:val="single" w:sz="4" w:space="0" w:color="auto"/>
              <w:left w:val="single" w:sz="4" w:space="0" w:color="auto"/>
              <w:bottom w:val="single" w:sz="4" w:space="0" w:color="auto"/>
              <w:right w:val="single" w:sz="4" w:space="0" w:color="auto"/>
            </w:tcBorders>
          </w:tcPr>
          <w:p w:rsidR="002A3CF7" w:rsidRDefault="002A3CF7" w:rsidP="002A3CF7">
            <w:pPr>
              <w:ind w:left="-3" w:right="162"/>
              <w:jc w:val="center"/>
              <w:rPr>
                <w:rFonts w:ascii="Calibri" w:hAnsi="Calibri"/>
                <w:b/>
                <w:bCs/>
                <w:color w:val="000000"/>
                <w:sz w:val="20"/>
                <w:szCs w:val="20"/>
              </w:rPr>
            </w:pPr>
            <w:r>
              <w:rPr>
                <w:rFonts w:ascii="Calibri" w:hAnsi="Calibri"/>
                <w:b/>
                <w:bCs/>
                <w:color w:val="000000"/>
                <w:sz w:val="20"/>
                <w:szCs w:val="20"/>
              </w:rPr>
              <w:t>Q4</w:t>
            </w:r>
          </w:p>
          <w:p w:rsidR="002A3CF7" w:rsidRDefault="00260D86" w:rsidP="002A3CF7">
            <w:pPr>
              <w:ind w:left="-3" w:right="162"/>
              <w:jc w:val="center"/>
              <w:rPr>
                <w:rFonts w:ascii="Calibri" w:hAnsi="Calibri"/>
                <w:b/>
                <w:bCs/>
                <w:color w:val="000000"/>
                <w:sz w:val="20"/>
                <w:szCs w:val="20"/>
              </w:rPr>
            </w:pPr>
            <w:r>
              <w:rPr>
                <w:rFonts w:ascii="Calibri" w:hAnsi="Calibri"/>
                <w:b/>
                <w:bCs/>
                <w:color w:val="000000"/>
                <w:sz w:val="20"/>
                <w:szCs w:val="20"/>
              </w:rPr>
              <w:t>2022/23</w:t>
            </w:r>
          </w:p>
        </w:tc>
      </w:tr>
      <w:tr w:rsidR="001539F0" w:rsidRPr="00716729" w:rsidTr="00382C0E">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9F0" w:rsidRPr="00F05E23" w:rsidRDefault="001539F0" w:rsidP="001539F0">
            <w:pPr>
              <w:rPr>
                <w:rFonts w:ascii="Calibri" w:hAnsi="Calibri"/>
                <w:color w:val="000000"/>
              </w:rPr>
            </w:pPr>
            <w:r w:rsidRPr="00F05E23">
              <w:rPr>
                <w:rFonts w:ascii="Calibri" w:hAnsi="Calibri"/>
                <w:color w:val="000000"/>
                <w:szCs w:val="22"/>
              </w:rPr>
              <w:t>Responsive Behaviors</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39F0" w:rsidRPr="00CE53B5" w:rsidRDefault="001539F0" w:rsidP="001539F0">
            <w:pPr>
              <w:jc w:val="center"/>
            </w:pPr>
            <w:r w:rsidRPr="00CE53B5">
              <w:t>37</w:t>
            </w:r>
          </w:p>
        </w:tc>
        <w:tc>
          <w:tcPr>
            <w:tcW w:w="1187" w:type="dxa"/>
            <w:tcBorders>
              <w:top w:val="single" w:sz="4" w:space="0" w:color="auto"/>
              <w:left w:val="single" w:sz="4" w:space="0" w:color="auto"/>
              <w:bottom w:val="single" w:sz="4" w:space="0" w:color="auto"/>
              <w:right w:val="single" w:sz="4" w:space="0" w:color="auto"/>
            </w:tcBorders>
          </w:tcPr>
          <w:p w:rsidR="001539F0" w:rsidRPr="00006C74" w:rsidRDefault="001539F0" w:rsidP="001539F0">
            <w:r w:rsidRPr="00006C74">
              <w:t>52</w:t>
            </w:r>
          </w:p>
        </w:tc>
        <w:tc>
          <w:tcPr>
            <w:tcW w:w="1159" w:type="dxa"/>
            <w:tcBorders>
              <w:top w:val="single" w:sz="4" w:space="0" w:color="auto"/>
              <w:left w:val="single" w:sz="4" w:space="0" w:color="auto"/>
              <w:bottom w:val="single" w:sz="4" w:space="0" w:color="auto"/>
              <w:right w:val="single" w:sz="4" w:space="0" w:color="auto"/>
            </w:tcBorders>
          </w:tcPr>
          <w:p w:rsidR="001539F0" w:rsidRPr="00006C74" w:rsidRDefault="001539F0" w:rsidP="001539F0">
            <w:r w:rsidRPr="00006C74">
              <w:t>36</w:t>
            </w:r>
          </w:p>
        </w:tc>
        <w:tc>
          <w:tcPr>
            <w:tcW w:w="1080" w:type="dxa"/>
            <w:tcBorders>
              <w:top w:val="single" w:sz="4" w:space="0" w:color="auto"/>
              <w:left w:val="single" w:sz="4" w:space="0" w:color="auto"/>
              <w:bottom w:val="single" w:sz="4" w:space="0" w:color="auto"/>
              <w:right w:val="single" w:sz="4" w:space="0" w:color="auto"/>
            </w:tcBorders>
          </w:tcPr>
          <w:p w:rsidR="001539F0" w:rsidRPr="00006C74" w:rsidRDefault="001539F0" w:rsidP="001539F0">
            <w:r w:rsidRPr="00006C74">
              <w:t>30</w:t>
            </w:r>
          </w:p>
        </w:tc>
        <w:tc>
          <w:tcPr>
            <w:tcW w:w="1243" w:type="dxa"/>
            <w:tcBorders>
              <w:top w:val="single" w:sz="4" w:space="0" w:color="auto"/>
              <w:left w:val="single" w:sz="4" w:space="0" w:color="auto"/>
              <w:bottom w:val="single" w:sz="4" w:space="0" w:color="auto"/>
              <w:right w:val="single" w:sz="4" w:space="0" w:color="auto"/>
            </w:tcBorders>
          </w:tcPr>
          <w:p w:rsidR="001539F0" w:rsidRDefault="00921E0C" w:rsidP="001539F0">
            <w:pPr>
              <w:jc w:val="center"/>
              <w:rPr>
                <w:rFonts w:ascii="Calibri" w:hAnsi="Calibri"/>
                <w:color w:val="000000"/>
              </w:rPr>
            </w:pPr>
            <w:r>
              <w:rPr>
                <w:rFonts w:ascii="Calibri" w:hAnsi="Calibri"/>
                <w:color w:val="000000"/>
              </w:rPr>
              <w:t>55</w:t>
            </w:r>
          </w:p>
        </w:tc>
      </w:tr>
      <w:tr w:rsidR="001539F0" w:rsidRPr="00716729" w:rsidTr="00382C0E">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9F0" w:rsidRPr="00F05E23" w:rsidRDefault="001539F0" w:rsidP="001539F0">
            <w:pPr>
              <w:rPr>
                <w:rFonts w:ascii="Calibri" w:hAnsi="Calibri"/>
                <w:color w:val="000000"/>
              </w:rPr>
            </w:pPr>
            <w:r>
              <w:rPr>
                <w:rFonts w:ascii="Calibri" w:hAnsi="Calibri"/>
                <w:color w:val="000000"/>
                <w:szCs w:val="22"/>
              </w:rPr>
              <w:t>Falls</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39F0" w:rsidRPr="00CE53B5" w:rsidRDefault="001539F0" w:rsidP="001539F0">
            <w:pPr>
              <w:jc w:val="center"/>
            </w:pPr>
            <w:r w:rsidRPr="00CE53B5">
              <w:t>47</w:t>
            </w:r>
          </w:p>
        </w:tc>
        <w:tc>
          <w:tcPr>
            <w:tcW w:w="1187" w:type="dxa"/>
            <w:tcBorders>
              <w:top w:val="single" w:sz="4" w:space="0" w:color="auto"/>
              <w:left w:val="single" w:sz="4" w:space="0" w:color="auto"/>
              <w:bottom w:val="single" w:sz="4" w:space="0" w:color="auto"/>
              <w:right w:val="single" w:sz="4" w:space="0" w:color="auto"/>
            </w:tcBorders>
          </w:tcPr>
          <w:p w:rsidR="001539F0" w:rsidRPr="00006C74" w:rsidRDefault="001539F0" w:rsidP="001539F0">
            <w:r w:rsidRPr="00006C74">
              <w:t>46</w:t>
            </w:r>
          </w:p>
        </w:tc>
        <w:tc>
          <w:tcPr>
            <w:tcW w:w="1159" w:type="dxa"/>
            <w:tcBorders>
              <w:top w:val="single" w:sz="4" w:space="0" w:color="auto"/>
              <w:left w:val="single" w:sz="4" w:space="0" w:color="auto"/>
              <w:bottom w:val="single" w:sz="4" w:space="0" w:color="auto"/>
              <w:right w:val="single" w:sz="4" w:space="0" w:color="auto"/>
            </w:tcBorders>
          </w:tcPr>
          <w:p w:rsidR="001539F0" w:rsidRPr="00006C74" w:rsidRDefault="001539F0" w:rsidP="001539F0">
            <w:r w:rsidRPr="00006C74">
              <w:t>45</w:t>
            </w:r>
          </w:p>
        </w:tc>
        <w:tc>
          <w:tcPr>
            <w:tcW w:w="1080" w:type="dxa"/>
            <w:tcBorders>
              <w:top w:val="single" w:sz="4" w:space="0" w:color="auto"/>
              <w:left w:val="single" w:sz="4" w:space="0" w:color="auto"/>
              <w:bottom w:val="single" w:sz="4" w:space="0" w:color="auto"/>
              <w:right w:val="single" w:sz="4" w:space="0" w:color="auto"/>
            </w:tcBorders>
          </w:tcPr>
          <w:p w:rsidR="001539F0" w:rsidRPr="00006C74" w:rsidRDefault="001539F0" w:rsidP="001539F0">
            <w:r w:rsidRPr="00006C74">
              <w:t>34</w:t>
            </w:r>
          </w:p>
        </w:tc>
        <w:tc>
          <w:tcPr>
            <w:tcW w:w="1243" w:type="dxa"/>
            <w:tcBorders>
              <w:top w:val="single" w:sz="4" w:space="0" w:color="auto"/>
              <w:left w:val="single" w:sz="4" w:space="0" w:color="auto"/>
              <w:bottom w:val="single" w:sz="4" w:space="0" w:color="auto"/>
              <w:right w:val="single" w:sz="4" w:space="0" w:color="auto"/>
            </w:tcBorders>
          </w:tcPr>
          <w:p w:rsidR="001539F0" w:rsidRDefault="00E06B0B" w:rsidP="001539F0">
            <w:pPr>
              <w:jc w:val="center"/>
              <w:rPr>
                <w:rFonts w:ascii="Calibri" w:hAnsi="Calibri"/>
                <w:color w:val="000000"/>
              </w:rPr>
            </w:pPr>
            <w:r>
              <w:rPr>
                <w:rFonts w:ascii="Calibri" w:hAnsi="Calibri"/>
                <w:color w:val="000000"/>
              </w:rPr>
              <w:t>58</w:t>
            </w:r>
          </w:p>
        </w:tc>
      </w:tr>
      <w:tr w:rsidR="001539F0" w:rsidRPr="00716729" w:rsidTr="002C178F">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9F0" w:rsidRPr="00F05E23" w:rsidRDefault="001539F0" w:rsidP="001539F0">
            <w:pPr>
              <w:rPr>
                <w:rFonts w:ascii="Calibri" w:hAnsi="Calibri"/>
                <w:color w:val="000000"/>
              </w:rPr>
            </w:pPr>
            <w:r w:rsidRPr="00F05E23">
              <w:rPr>
                <w:rFonts w:ascii="Calibri" w:hAnsi="Calibri"/>
                <w:color w:val="000000"/>
                <w:szCs w:val="22"/>
              </w:rPr>
              <w:t>Medication Errors</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39F0" w:rsidRPr="00CE53B5" w:rsidRDefault="001539F0" w:rsidP="001539F0">
            <w:pPr>
              <w:jc w:val="center"/>
            </w:pPr>
            <w:r w:rsidRPr="00CE53B5">
              <w:t>21</w:t>
            </w:r>
          </w:p>
        </w:tc>
        <w:tc>
          <w:tcPr>
            <w:tcW w:w="1187" w:type="dxa"/>
            <w:tcBorders>
              <w:top w:val="single" w:sz="4" w:space="0" w:color="auto"/>
              <w:left w:val="single" w:sz="4" w:space="0" w:color="auto"/>
              <w:bottom w:val="single" w:sz="4" w:space="0" w:color="auto"/>
              <w:right w:val="single" w:sz="4" w:space="0" w:color="auto"/>
            </w:tcBorders>
          </w:tcPr>
          <w:p w:rsidR="001539F0" w:rsidRPr="00006C74" w:rsidRDefault="001539F0" w:rsidP="001539F0">
            <w:r w:rsidRPr="00006C74">
              <w:t>26</w:t>
            </w:r>
          </w:p>
        </w:tc>
        <w:tc>
          <w:tcPr>
            <w:tcW w:w="1159" w:type="dxa"/>
            <w:tcBorders>
              <w:top w:val="single" w:sz="4" w:space="0" w:color="auto"/>
              <w:left w:val="single" w:sz="4" w:space="0" w:color="auto"/>
              <w:bottom w:val="single" w:sz="4" w:space="0" w:color="auto"/>
              <w:right w:val="single" w:sz="4" w:space="0" w:color="auto"/>
            </w:tcBorders>
          </w:tcPr>
          <w:p w:rsidR="001539F0" w:rsidRPr="00006C74" w:rsidRDefault="001539F0" w:rsidP="001539F0">
            <w:r w:rsidRPr="00006C74">
              <w:t>15</w:t>
            </w:r>
          </w:p>
        </w:tc>
        <w:tc>
          <w:tcPr>
            <w:tcW w:w="1080" w:type="dxa"/>
            <w:tcBorders>
              <w:top w:val="single" w:sz="4" w:space="0" w:color="auto"/>
              <w:left w:val="single" w:sz="4" w:space="0" w:color="auto"/>
              <w:bottom w:val="single" w:sz="4" w:space="0" w:color="auto"/>
              <w:right w:val="single" w:sz="4" w:space="0" w:color="auto"/>
            </w:tcBorders>
          </w:tcPr>
          <w:p w:rsidR="001539F0" w:rsidRPr="00006C74" w:rsidRDefault="001539F0" w:rsidP="001539F0">
            <w:r w:rsidRPr="00006C74">
              <w:t>12</w:t>
            </w:r>
          </w:p>
        </w:tc>
        <w:tc>
          <w:tcPr>
            <w:tcW w:w="1243" w:type="dxa"/>
            <w:tcBorders>
              <w:top w:val="single" w:sz="4" w:space="0" w:color="auto"/>
              <w:left w:val="single" w:sz="4" w:space="0" w:color="auto"/>
              <w:bottom w:val="single" w:sz="4" w:space="0" w:color="auto"/>
              <w:right w:val="single" w:sz="4" w:space="0" w:color="auto"/>
            </w:tcBorders>
          </w:tcPr>
          <w:p w:rsidR="001539F0" w:rsidRDefault="0039478F" w:rsidP="001539F0">
            <w:pPr>
              <w:jc w:val="center"/>
              <w:rPr>
                <w:rFonts w:ascii="Calibri" w:hAnsi="Calibri"/>
                <w:color w:val="000000"/>
              </w:rPr>
            </w:pPr>
            <w:r>
              <w:rPr>
                <w:rFonts w:ascii="Calibri" w:hAnsi="Calibri"/>
                <w:color w:val="000000"/>
              </w:rPr>
              <w:t>18</w:t>
            </w:r>
          </w:p>
        </w:tc>
      </w:tr>
      <w:tr w:rsidR="001539F0" w:rsidRPr="00716729" w:rsidTr="00382C0E">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9F0" w:rsidRPr="00F05E23" w:rsidRDefault="001539F0" w:rsidP="001539F0">
            <w:pPr>
              <w:rPr>
                <w:rFonts w:ascii="Calibri" w:hAnsi="Calibri"/>
                <w:color w:val="000000"/>
              </w:rPr>
            </w:pPr>
            <w:r w:rsidRPr="00F05E23">
              <w:rPr>
                <w:rFonts w:ascii="Calibri" w:hAnsi="Calibri"/>
                <w:color w:val="000000"/>
                <w:szCs w:val="22"/>
              </w:rPr>
              <w:t>Other</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39F0" w:rsidRPr="00CE53B5" w:rsidRDefault="001539F0" w:rsidP="001539F0">
            <w:pPr>
              <w:jc w:val="center"/>
            </w:pPr>
            <w:r w:rsidRPr="00CE53B5">
              <w:t>41</w:t>
            </w:r>
          </w:p>
        </w:tc>
        <w:tc>
          <w:tcPr>
            <w:tcW w:w="1187" w:type="dxa"/>
            <w:tcBorders>
              <w:top w:val="single" w:sz="4" w:space="0" w:color="auto"/>
              <w:left w:val="single" w:sz="4" w:space="0" w:color="auto"/>
              <w:bottom w:val="single" w:sz="4" w:space="0" w:color="auto"/>
              <w:right w:val="single" w:sz="4" w:space="0" w:color="auto"/>
            </w:tcBorders>
          </w:tcPr>
          <w:p w:rsidR="001539F0" w:rsidRPr="00006C74" w:rsidRDefault="001539F0" w:rsidP="001539F0">
            <w:r w:rsidRPr="00006C74">
              <w:t>42</w:t>
            </w:r>
          </w:p>
        </w:tc>
        <w:tc>
          <w:tcPr>
            <w:tcW w:w="1159" w:type="dxa"/>
            <w:tcBorders>
              <w:top w:val="single" w:sz="4" w:space="0" w:color="auto"/>
              <w:left w:val="single" w:sz="4" w:space="0" w:color="auto"/>
              <w:bottom w:val="single" w:sz="4" w:space="0" w:color="auto"/>
              <w:right w:val="single" w:sz="4" w:space="0" w:color="auto"/>
            </w:tcBorders>
          </w:tcPr>
          <w:p w:rsidR="001539F0" w:rsidRPr="00006C74" w:rsidRDefault="001539F0" w:rsidP="001539F0">
            <w:r w:rsidRPr="00006C74">
              <w:t>39</w:t>
            </w:r>
          </w:p>
        </w:tc>
        <w:tc>
          <w:tcPr>
            <w:tcW w:w="1080" w:type="dxa"/>
            <w:tcBorders>
              <w:top w:val="single" w:sz="4" w:space="0" w:color="auto"/>
              <w:left w:val="single" w:sz="4" w:space="0" w:color="auto"/>
              <w:bottom w:val="single" w:sz="4" w:space="0" w:color="auto"/>
              <w:right w:val="single" w:sz="4" w:space="0" w:color="auto"/>
            </w:tcBorders>
          </w:tcPr>
          <w:p w:rsidR="001539F0" w:rsidRPr="00006C74" w:rsidRDefault="001539F0" w:rsidP="001539F0">
            <w:r w:rsidRPr="00006C74">
              <w:t>10</w:t>
            </w:r>
          </w:p>
        </w:tc>
        <w:tc>
          <w:tcPr>
            <w:tcW w:w="1243" w:type="dxa"/>
            <w:tcBorders>
              <w:top w:val="single" w:sz="4" w:space="0" w:color="auto"/>
              <w:left w:val="single" w:sz="4" w:space="0" w:color="auto"/>
              <w:bottom w:val="single" w:sz="4" w:space="0" w:color="auto"/>
              <w:right w:val="single" w:sz="4" w:space="0" w:color="auto"/>
            </w:tcBorders>
          </w:tcPr>
          <w:p w:rsidR="001539F0" w:rsidRDefault="00E70987" w:rsidP="001539F0">
            <w:pPr>
              <w:jc w:val="center"/>
              <w:rPr>
                <w:rFonts w:ascii="Calibri" w:hAnsi="Calibri"/>
                <w:color w:val="000000"/>
              </w:rPr>
            </w:pPr>
            <w:r>
              <w:rPr>
                <w:rFonts w:ascii="Calibri" w:hAnsi="Calibri"/>
                <w:color w:val="000000"/>
              </w:rPr>
              <w:t>32</w:t>
            </w:r>
          </w:p>
        </w:tc>
      </w:tr>
      <w:tr w:rsidR="001539F0" w:rsidRPr="00716729" w:rsidTr="00382C0E">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9F0" w:rsidRPr="00F05E23" w:rsidRDefault="001539F0" w:rsidP="001539F0">
            <w:pPr>
              <w:jc w:val="right"/>
              <w:rPr>
                <w:rFonts w:ascii="Calibri" w:hAnsi="Calibri"/>
                <w:b/>
                <w:bCs/>
                <w:color w:val="000000"/>
              </w:rPr>
            </w:pPr>
            <w:r w:rsidRPr="00F05E23">
              <w:rPr>
                <w:rFonts w:ascii="Calibri" w:hAnsi="Calibri"/>
                <w:b/>
                <w:bCs/>
                <w:color w:val="000000"/>
                <w:szCs w:val="22"/>
              </w:rPr>
              <w:t>Total</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39F0" w:rsidRPr="00D709EC" w:rsidRDefault="001539F0" w:rsidP="001539F0">
            <w:pPr>
              <w:jc w:val="center"/>
              <w:rPr>
                <w:b/>
              </w:rPr>
            </w:pPr>
            <w:r w:rsidRPr="00D709EC">
              <w:rPr>
                <w:b/>
              </w:rPr>
              <w:t>146</w:t>
            </w:r>
          </w:p>
        </w:tc>
        <w:tc>
          <w:tcPr>
            <w:tcW w:w="1187" w:type="dxa"/>
            <w:tcBorders>
              <w:top w:val="single" w:sz="4" w:space="0" w:color="auto"/>
              <w:left w:val="single" w:sz="4" w:space="0" w:color="auto"/>
              <w:bottom w:val="single" w:sz="4" w:space="0" w:color="auto"/>
              <w:right w:val="single" w:sz="4" w:space="0" w:color="auto"/>
            </w:tcBorders>
          </w:tcPr>
          <w:p w:rsidR="001539F0" w:rsidRPr="00D709EC" w:rsidRDefault="001539F0" w:rsidP="001539F0">
            <w:pPr>
              <w:rPr>
                <w:b/>
              </w:rPr>
            </w:pPr>
            <w:r w:rsidRPr="00D709EC">
              <w:rPr>
                <w:b/>
              </w:rPr>
              <w:t>166</w:t>
            </w:r>
          </w:p>
        </w:tc>
        <w:tc>
          <w:tcPr>
            <w:tcW w:w="1159" w:type="dxa"/>
            <w:tcBorders>
              <w:top w:val="single" w:sz="4" w:space="0" w:color="auto"/>
              <w:left w:val="single" w:sz="4" w:space="0" w:color="auto"/>
              <w:bottom w:val="single" w:sz="4" w:space="0" w:color="auto"/>
              <w:right w:val="single" w:sz="4" w:space="0" w:color="auto"/>
            </w:tcBorders>
          </w:tcPr>
          <w:p w:rsidR="001539F0" w:rsidRPr="00D709EC" w:rsidRDefault="001539F0" w:rsidP="001539F0">
            <w:pPr>
              <w:rPr>
                <w:b/>
              </w:rPr>
            </w:pPr>
            <w:r w:rsidRPr="00D709EC">
              <w:rPr>
                <w:b/>
              </w:rPr>
              <w:t>135</w:t>
            </w:r>
          </w:p>
        </w:tc>
        <w:tc>
          <w:tcPr>
            <w:tcW w:w="1080" w:type="dxa"/>
            <w:tcBorders>
              <w:top w:val="single" w:sz="4" w:space="0" w:color="auto"/>
              <w:left w:val="single" w:sz="4" w:space="0" w:color="auto"/>
              <w:bottom w:val="single" w:sz="4" w:space="0" w:color="auto"/>
              <w:right w:val="single" w:sz="4" w:space="0" w:color="auto"/>
            </w:tcBorders>
          </w:tcPr>
          <w:p w:rsidR="001539F0" w:rsidRPr="00D709EC" w:rsidRDefault="001539F0" w:rsidP="001539F0">
            <w:pPr>
              <w:rPr>
                <w:b/>
              </w:rPr>
            </w:pPr>
            <w:r w:rsidRPr="00D709EC">
              <w:rPr>
                <w:b/>
              </w:rPr>
              <w:t>86</w:t>
            </w:r>
          </w:p>
        </w:tc>
        <w:tc>
          <w:tcPr>
            <w:tcW w:w="1243" w:type="dxa"/>
            <w:tcBorders>
              <w:top w:val="single" w:sz="4" w:space="0" w:color="auto"/>
              <w:left w:val="single" w:sz="4" w:space="0" w:color="auto"/>
              <w:bottom w:val="single" w:sz="4" w:space="0" w:color="auto"/>
              <w:right w:val="single" w:sz="4" w:space="0" w:color="auto"/>
            </w:tcBorders>
          </w:tcPr>
          <w:p w:rsidR="001539F0" w:rsidRPr="00D709EC" w:rsidRDefault="00E06B0B" w:rsidP="001539F0">
            <w:pPr>
              <w:jc w:val="center"/>
              <w:rPr>
                <w:rFonts w:ascii="Calibri" w:hAnsi="Calibri"/>
                <w:b/>
                <w:bCs/>
                <w:color w:val="000000"/>
              </w:rPr>
            </w:pPr>
            <w:r w:rsidRPr="00D709EC">
              <w:rPr>
                <w:rFonts w:ascii="Calibri" w:hAnsi="Calibri"/>
                <w:b/>
                <w:bCs/>
                <w:color w:val="000000"/>
              </w:rPr>
              <w:t>162</w:t>
            </w:r>
          </w:p>
        </w:tc>
      </w:tr>
      <w:tr w:rsidR="00B02B1F" w:rsidRPr="00F05E23" w:rsidTr="002C178F">
        <w:trPr>
          <w:trHeight w:val="288"/>
          <w:jc w:val="center"/>
        </w:trPr>
        <w:tc>
          <w:tcPr>
            <w:tcW w:w="4271" w:type="dxa"/>
            <w:tcBorders>
              <w:top w:val="single" w:sz="4" w:space="0" w:color="auto"/>
              <w:left w:val="single" w:sz="4" w:space="0" w:color="auto"/>
              <w:bottom w:val="single" w:sz="4" w:space="0" w:color="auto"/>
            </w:tcBorders>
            <w:shd w:val="clear" w:color="auto" w:fill="BFBFBF" w:themeFill="background1" w:themeFillShade="BF"/>
            <w:hideMark/>
          </w:tcPr>
          <w:p w:rsidR="00B02B1F" w:rsidRPr="00F05E23" w:rsidRDefault="00B02B1F" w:rsidP="00B02B1F">
            <w:pPr>
              <w:rPr>
                <w:rFonts w:ascii="Calibri" w:hAnsi="Calibri"/>
                <w:b/>
                <w:bCs/>
                <w:color w:val="000000"/>
              </w:rPr>
            </w:pPr>
          </w:p>
        </w:tc>
        <w:tc>
          <w:tcPr>
            <w:tcW w:w="1135" w:type="dxa"/>
            <w:tcBorders>
              <w:top w:val="single" w:sz="4" w:space="0" w:color="auto"/>
              <w:bottom w:val="single" w:sz="4" w:space="0" w:color="auto"/>
            </w:tcBorders>
            <w:shd w:val="clear" w:color="auto" w:fill="BFBFBF" w:themeFill="background1" w:themeFillShade="BF"/>
          </w:tcPr>
          <w:p w:rsidR="00B02B1F" w:rsidRDefault="00B02B1F" w:rsidP="00B02B1F">
            <w:pPr>
              <w:jc w:val="center"/>
              <w:rPr>
                <w:rFonts w:ascii="Calibri" w:hAnsi="Calibri"/>
                <w:b/>
                <w:bCs/>
                <w:color w:val="000000"/>
                <w:sz w:val="20"/>
                <w:szCs w:val="20"/>
              </w:rPr>
            </w:pPr>
          </w:p>
        </w:tc>
        <w:tc>
          <w:tcPr>
            <w:tcW w:w="1187" w:type="dxa"/>
            <w:tcBorders>
              <w:top w:val="single" w:sz="4" w:space="0" w:color="auto"/>
              <w:bottom w:val="single" w:sz="4" w:space="0" w:color="auto"/>
            </w:tcBorders>
            <w:shd w:val="clear" w:color="auto" w:fill="BFBFBF" w:themeFill="background1" w:themeFillShade="BF"/>
          </w:tcPr>
          <w:p w:rsidR="00B02B1F" w:rsidRPr="008E070D" w:rsidRDefault="00B02B1F" w:rsidP="00B02B1F">
            <w:pPr>
              <w:ind w:right="158"/>
              <w:jc w:val="center"/>
              <w:rPr>
                <w:rFonts w:ascii="Calibri" w:hAnsi="Calibri"/>
                <w:b/>
                <w:bCs/>
                <w:color w:val="000000"/>
                <w:sz w:val="20"/>
                <w:szCs w:val="20"/>
              </w:rPr>
            </w:pPr>
          </w:p>
        </w:tc>
        <w:tc>
          <w:tcPr>
            <w:tcW w:w="1159" w:type="dxa"/>
            <w:tcBorders>
              <w:top w:val="single" w:sz="4" w:space="0" w:color="auto"/>
              <w:bottom w:val="single" w:sz="4" w:space="0" w:color="auto"/>
            </w:tcBorders>
            <w:shd w:val="clear" w:color="auto" w:fill="BFBFBF" w:themeFill="background1" w:themeFillShade="BF"/>
          </w:tcPr>
          <w:p w:rsidR="00B02B1F" w:rsidRPr="008E070D" w:rsidRDefault="00B02B1F" w:rsidP="00B02B1F">
            <w:pPr>
              <w:ind w:left="-38" w:right="162"/>
              <w:jc w:val="center"/>
              <w:rPr>
                <w:rFonts w:ascii="Calibri" w:hAnsi="Calibri"/>
                <w:b/>
                <w:bCs/>
                <w:color w:val="000000"/>
                <w:sz w:val="20"/>
                <w:szCs w:val="20"/>
              </w:rPr>
            </w:pPr>
          </w:p>
        </w:tc>
        <w:tc>
          <w:tcPr>
            <w:tcW w:w="1080" w:type="dxa"/>
            <w:tcBorders>
              <w:top w:val="single" w:sz="4" w:space="0" w:color="auto"/>
              <w:bottom w:val="single" w:sz="4" w:space="0" w:color="auto"/>
              <w:right w:val="single" w:sz="4" w:space="0" w:color="auto"/>
            </w:tcBorders>
            <w:shd w:val="clear" w:color="auto" w:fill="BFBFBF" w:themeFill="background1" w:themeFillShade="BF"/>
          </w:tcPr>
          <w:p w:rsidR="00B02B1F" w:rsidRDefault="00B02B1F" w:rsidP="00B02B1F">
            <w:pPr>
              <w:ind w:left="-93" w:right="162"/>
              <w:jc w:val="center"/>
              <w:rPr>
                <w:rFonts w:ascii="Calibri" w:hAnsi="Calibri"/>
                <w:b/>
                <w:bCs/>
                <w:color w:val="000000"/>
                <w:sz w:val="20"/>
                <w:szCs w:val="20"/>
              </w:rPr>
            </w:pPr>
          </w:p>
        </w:tc>
        <w:tc>
          <w:tcPr>
            <w:tcW w:w="1243" w:type="dxa"/>
            <w:tcBorders>
              <w:top w:val="single" w:sz="4" w:space="0" w:color="auto"/>
              <w:bottom w:val="single" w:sz="4" w:space="0" w:color="auto"/>
              <w:right w:val="single" w:sz="4" w:space="0" w:color="auto"/>
            </w:tcBorders>
            <w:shd w:val="clear" w:color="auto" w:fill="BFBFBF" w:themeFill="background1" w:themeFillShade="BF"/>
          </w:tcPr>
          <w:p w:rsidR="00B02B1F" w:rsidRDefault="00B02B1F" w:rsidP="00B02B1F">
            <w:pPr>
              <w:ind w:left="-93" w:right="162"/>
              <w:jc w:val="center"/>
              <w:rPr>
                <w:rFonts w:ascii="Calibri" w:hAnsi="Calibri"/>
                <w:b/>
                <w:bCs/>
                <w:color w:val="000000"/>
                <w:sz w:val="20"/>
                <w:szCs w:val="20"/>
              </w:rPr>
            </w:pPr>
          </w:p>
        </w:tc>
      </w:tr>
      <w:tr w:rsidR="00B02B1F" w:rsidRPr="00F05E23" w:rsidTr="002C178F">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hideMark/>
          </w:tcPr>
          <w:p w:rsidR="00B02B1F" w:rsidRPr="00F05E23" w:rsidRDefault="00B02B1F" w:rsidP="00B02B1F">
            <w:pPr>
              <w:rPr>
                <w:rFonts w:ascii="Calibri" w:hAnsi="Calibri"/>
                <w:b/>
                <w:bCs/>
                <w:color w:val="000000"/>
              </w:rPr>
            </w:pPr>
            <w:r w:rsidRPr="00F05E23">
              <w:rPr>
                <w:rFonts w:ascii="Calibri" w:hAnsi="Calibri"/>
                <w:b/>
                <w:bCs/>
                <w:color w:val="000000"/>
                <w:szCs w:val="22"/>
              </w:rPr>
              <w:t>Incident</w:t>
            </w:r>
            <w:r>
              <w:rPr>
                <w:rFonts w:ascii="Calibri" w:hAnsi="Calibri"/>
                <w:b/>
                <w:bCs/>
                <w:color w:val="000000"/>
                <w:szCs w:val="22"/>
              </w:rPr>
              <w:t xml:space="preserve"> Rate </w:t>
            </w:r>
            <w:r w:rsidRPr="00F05E23">
              <w:rPr>
                <w:rFonts w:ascii="Calibri" w:hAnsi="Calibri"/>
                <w:b/>
                <w:bCs/>
                <w:color w:val="000000"/>
                <w:szCs w:val="22"/>
              </w:rPr>
              <w:t>Per 1000 Resident Days</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B1F" w:rsidRDefault="00B02B1F" w:rsidP="00B02B1F">
            <w:pPr>
              <w:ind w:right="158"/>
              <w:jc w:val="center"/>
              <w:rPr>
                <w:rFonts w:ascii="Calibri" w:hAnsi="Calibri"/>
                <w:b/>
                <w:bCs/>
                <w:color w:val="000000"/>
                <w:sz w:val="20"/>
                <w:szCs w:val="20"/>
              </w:rPr>
            </w:pPr>
            <w:r w:rsidRPr="008E070D">
              <w:rPr>
                <w:rFonts w:ascii="Calibri" w:hAnsi="Calibri"/>
                <w:b/>
                <w:bCs/>
                <w:color w:val="000000"/>
                <w:sz w:val="20"/>
                <w:szCs w:val="20"/>
              </w:rPr>
              <w:t>Q</w:t>
            </w:r>
            <w:r w:rsidR="00336B28">
              <w:rPr>
                <w:rFonts w:ascii="Calibri" w:hAnsi="Calibri"/>
                <w:b/>
                <w:bCs/>
                <w:color w:val="000000"/>
                <w:sz w:val="20"/>
                <w:szCs w:val="20"/>
              </w:rPr>
              <w:t>4</w:t>
            </w:r>
          </w:p>
          <w:p w:rsidR="00B02B1F" w:rsidRPr="008E070D" w:rsidRDefault="00260D86" w:rsidP="00B02B1F">
            <w:pPr>
              <w:ind w:right="158"/>
              <w:jc w:val="center"/>
              <w:rPr>
                <w:rFonts w:ascii="Calibri" w:hAnsi="Calibri"/>
                <w:b/>
                <w:bCs/>
                <w:color w:val="000000"/>
                <w:sz w:val="20"/>
                <w:szCs w:val="20"/>
              </w:rPr>
            </w:pPr>
            <w:r>
              <w:rPr>
                <w:rFonts w:ascii="Calibri" w:hAnsi="Calibri"/>
                <w:b/>
                <w:bCs/>
                <w:color w:val="000000"/>
                <w:sz w:val="20"/>
                <w:szCs w:val="20"/>
              </w:rPr>
              <w:t>2021/22</w:t>
            </w:r>
          </w:p>
        </w:tc>
        <w:tc>
          <w:tcPr>
            <w:tcW w:w="1187" w:type="dxa"/>
            <w:tcBorders>
              <w:top w:val="single" w:sz="4" w:space="0" w:color="auto"/>
              <w:left w:val="single" w:sz="4" w:space="0" w:color="auto"/>
              <w:bottom w:val="single" w:sz="4" w:space="0" w:color="auto"/>
              <w:right w:val="single" w:sz="4" w:space="0" w:color="auto"/>
            </w:tcBorders>
          </w:tcPr>
          <w:p w:rsidR="00B02B1F" w:rsidRDefault="00B02B1F" w:rsidP="00B02B1F">
            <w:pPr>
              <w:ind w:right="158"/>
              <w:jc w:val="center"/>
              <w:rPr>
                <w:rFonts w:ascii="Calibri" w:hAnsi="Calibri"/>
                <w:b/>
                <w:bCs/>
                <w:color w:val="000000"/>
                <w:sz w:val="20"/>
                <w:szCs w:val="20"/>
              </w:rPr>
            </w:pPr>
            <w:r w:rsidRPr="008E070D">
              <w:rPr>
                <w:rFonts w:ascii="Calibri" w:hAnsi="Calibri"/>
                <w:b/>
                <w:bCs/>
                <w:color w:val="000000"/>
                <w:sz w:val="20"/>
                <w:szCs w:val="20"/>
              </w:rPr>
              <w:t>Q1</w:t>
            </w:r>
          </w:p>
          <w:p w:rsidR="00B02B1F" w:rsidRPr="008E070D" w:rsidRDefault="00260D86" w:rsidP="00B02B1F">
            <w:pPr>
              <w:ind w:right="158"/>
              <w:jc w:val="center"/>
              <w:rPr>
                <w:rFonts w:ascii="Calibri" w:hAnsi="Calibri"/>
                <w:b/>
                <w:bCs/>
                <w:color w:val="000000"/>
                <w:sz w:val="20"/>
                <w:szCs w:val="20"/>
              </w:rPr>
            </w:pPr>
            <w:r>
              <w:rPr>
                <w:rFonts w:ascii="Calibri" w:hAnsi="Calibri"/>
                <w:b/>
                <w:bCs/>
                <w:color w:val="000000"/>
                <w:sz w:val="20"/>
                <w:szCs w:val="20"/>
              </w:rPr>
              <w:t>2022/23</w:t>
            </w:r>
          </w:p>
        </w:tc>
        <w:tc>
          <w:tcPr>
            <w:tcW w:w="1159" w:type="dxa"/>
            <w:tcBorders>
              <w:top w:val="single" w:sz="4" w:space="0" w:color="auto"/>
              <w:left w:val="single" w:sz="4" w:space="0" w:color="auto"/>
              <w:bottom w:val="single" w:sz="4" w:space="0" w:color="auto"/>
              <w:right w:val="single" w:sz="4" w:space="0" w:color="auto"/>
            </w:tcBorders>
          </w:tcPr>
          <w:p w:rsidR="00B02B1F" w:rsidRDefault="00B02B1F" w:rsidP="00B02B1F">
            <w:pPr>
              <w:ind w:left="-108" w:right="162"/>
              <w:jc w:val="center"/>
              <w:rPr>
                <w:rFonts w:ascii="Calibri" w:hAnsi="Calibri"/>
                <w:b/>
                <w:bCs/>
                <w:color w:val="000000"/>
                <w:sz w:val="20"/>
                <w:szCs w:val="20"/>
              </w:rPr>
            </w:pPr>
            <w:r w:rsidRPr="008E070D">
              <w:rPr>
                <w:rFonts w:ascii="Calibri" w:hAnsi="Calibri"/>
                <w:b/>
                <w:bCs/>
                <w:color w:val="000000"/>
                <w:sz w:val="20"/>
                <w:szCs w:val="20"/>
              </w:rPr>
              <w:t>Q2</w:t>
            </w:r>
          </w:p>
          <w:p w:rsidR="00B02B1F" w:rsidRPr="008E070D" w:rsidRDefault="00260D86" w:rsidP="00B02B1F">
            <w:pPr>
              <w:ind w:right="162"/>
              <w:jc w:val="center"/>
              <w:rPr>
                <w:rFonts w:ascii="Calibri" w:hAnsi="Calibri"/>
                <w:b/>
                <w:bCs/>
                <w:color w:val="000000"/>
                <w:sz w:val="20"/>
                <w:szCs w:val="20"/>
              </w:rPr>
            </w:pPr>
            <w:r>
              <w:rPr>
                <w:rFonts w:ascii="Calibri" w:hAnsi="Calibri"/>
                <w:b/>
                <w:bCs/>
                <w:color w:val="000000"/>
                <w:sz w:val="20"/>
                <w:szCs w:val="20"/>
              </w:rPr>
              <w:t>2022/23</w:t>
            </w:r>
          </w:p>
        </w:tc>
        <w:tc>
          <w:tcPr>
            <w:tcW w:w="1080" w:type="dxa"/>
            <w:tcBorders>
              <w:top w:val="single" w:sz="4" w:space="0" w:color="auto"/>
              <w:left w:val="single" w:sz="4" w:space="0" w:color="auto"/>
              <w:bottom w:val="single" w:sz="4" w:space="0" w:color="auto"/>
              <w:right w:val="single" w:sz="4" w:space="0" w:color="auto"/>
            </w:tcBorders>
          </w:tcPr>
          <w:p w:rsidR="00B02B1F" w:rsidRDefault="00B02B1F" w:rsidP="00B02B1F">
            <w:pPr>
              <w:ind w:left="-3" w:right="162"/>
              <w:jc w:val="center"/>
              <w:rPr>
                <w:rFonts w:ascii="Calibri" w:hAnsi="Calibri"/>
                <w:b/>
                <w:bCs/>
                <w:color w:val="000000"/>
                <w:sz w:val="20"/>
                <w:szCs w:val="20"/>
              </w:rPr>
            </w:pPr>
            <w:r>
              <w:rPr>
                <w:rFonts w:ascii="Calibri" w:hAnsi="Calibri"/>
                <w:b/>
                <w:bCs/>
                <w:color w:val="000000"/>
                <w:sz w:val="20"/>
                <w:szCs w:val="20"/>
              </w:rPr>
              <w:t>Q3</w:t>
            </w:r>
          </w:p>
          <w:p w:rsidR="00B02B1F" w:rsidRPr="008E070D" w:rsidRDefault="00260D86" w:rsidP="00B02B1F">
            <w:pPr>
              <w:ind w:left="-3" w:right="162"/>
              <w:jc w:val="center"/>
              <w:rPr>
                <w:rFonts w:ascii="Calibri" w:hAnsi="Calibri"/>
                <w:b/>
                <w:bCs/>
                <w:color w:val="000000"/>
                <w:sz w:val="20"/>
                <w:szCs w:val="20"/>
              </w:rPr>
            </w:pPr>
            <w:r>
              <w:rPr>
                <w:rFonts w:ascii="Calibri" w:hAnsi="Calibri"/>
                <w:b/>
                <w:bCs/>
                <w:color w:val="000000"/>
                <w:sz w:val="20"/>
                <w:szCs w:val="20"/>
              </w:rPr>
              <w:t>2022/23</w:t>
            </w:r>
          </w:p>
        </w:tc>
        <w:tc>
          <w:tcPr>
            <w:tcW w:w="1243" w:type="dxa"/>
            <w:tcBorders>
              <w:top w:val="single" w:sz="4" w:space="0" w:color="auto"/>
              <w:left w:val="single" w:sz="4" w:space="0" w:color="auto"/>
              <w:bottom w:val="single" w:sz="4" w:space="0" w:color="auto"/>
              <w:right w:val="single" w:sz="4" w:space="0" w:color="auto"/>
            </w:tcBorders>
          </w:tcPr>
          <w:p w:rsidR="00B02B1F" w:rsidRDefault="00B02B1F" w:rsidP="00B02B1F">
            <w:pPr>
              <w:ind w:left="-3" w:right="162"/>
              <w:jc w:val="center"/>
              <w:rPr>
                <w:rFonts w:ascii="Calibri" w:hAnsi="Calibri"/>
                <w:b/>
                <w:bCs/>
                <w:color w:val="000000"/>
                <w:sz w:val="20"/>
                <w:szCs w:val="20"/>
              </w:rPr>
            </w:pPr>
            <w:r>
              <w:rPr>
                <w:rFonts w:ascii="Calibri" w:hAnsi="Calibri"/>
                <w:b/>
                <w:bCs/>
                <w:color w:val="000000"/>
                <w:sz w:val="20"/>
                <w:szCs w:val="20"/>
              </w:rPr>
              <w:t>Q4</w:t>
            </w:r>
          </w:p>
          <w:p w:rsidR="00B02B1F" w:rsidRDefault="00260D86" w:rsidP="00B02B1F">
            <w:pPr>
              <w:ind w:left="-3" w:right="162"/>
              <w:jc w:val="center"/>
              <w:rPr>
                <w:rFonts w:ascii="Calibri" w:hAnsi="Calibri"/>
                <w:b/>
                <w:bCs/>
                <w:color w:val="000000"/>
                <w:sz w:val="20"/>
                <w:szCs w:val="20"/>
              </w:rPr>
            </w:pPr>
            <w:r>
              <w:rPr>
                <w:rFonts w:ascii="Calibri" w:hAnsi="Calibri"/>
                <w:b/>
                <w:bCs/>
                <w:color w:val="000000"/>
                <w:sz w:val="20"/>
                <w:szCs w:val="20"/>
              </w:rPr>
              <w:t>2022/23</w:t>
            </w:r>
          </w:p>
        </w:tc>
      </w:tr>
      <w:tr w:rsidR="001539F0" w:rsidRPr="00F05E23" w:rsidTr="00F726AD">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9F0" w:rsidRPr="00F05E23" w:rsidRDefault="001539F0" w:rsidP="001539F0">
            <w:pPr>
              <w:spacing w:line="276" w:lineRule="auto"/>
              <w:rPr>
                <w:rFonts w:ascii="Calibri" w:hAnsi="Calibri"/>
                <w:color w:val="000000"/>
              </w:rPr>
            </w:pPr>
            <w:r w:rsidRPr="00F05E23">
              <w:rPr>
                <w:rFonts w:ascii="Calibri" w:hAnsi="Calibri"/>
                <w:color w:val="000000"/>
                <w:szCs w:val="22"/>
              </w:rPr>
              <w:t>Responsive Behaviors</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39F0" w:rsidRPr="00A2219F" w:rsidRDefault="001539F0" w:rsidP="001539F0">
            <w:pPr>
              <w:jc w:val="center"/>
            </w:pPr>
            <w:r w:rsidRPr="00A2219F">
              <w:t>5.07</w:t>
            </w:r>
          </w:p>
        </w:tc>
        <w:tc>
          <w:tcPr>
            <w:tcW w:w="1187" w:type="dxa"/>
            <w:tcBorders>
              <w:top w:val="single" w:sz="4" w:space="0" w:color="auto"/>
              <w:left w:val="single" w:sz="4" w:space="0" w:color="auto"/>
              <w:bottom w:val="single" w:sz="4" w:space="0" w:color="auto"/>
              <w:right w:val="single" w:sz="4" w:space="0" w:color="auto"/>
            </w:tcBorders>
          </w:tcPr>
          <w:p w:rsidR="001539F0" w:rsidRPr="009E318C" w:rsidRDefault="001539F0" w:rsidP="001539F0">
            <w:r w:rsidRPr="009E318C">
              <w:t>6.76</w:t>
            </w:r>
          </w:p>
        </w:tc>
        <w:tc>
          <w:tcPr>
            <w:tcW w:w="1159" w:type="dxa"/>
            <w:tcBorders>
              <w:top w:val="single" w:sz="4" w:space="0" w:color="auto"/>
              <w:left w:val="single" w:sz="4" w:space="0" w:color="auto"/>
              <w:bottom w:val="single" w:sz="4" w:space="0" w:color="auto"/>
              <w:right w:val="single" w:sz="4" w:space="0" w:color="auto"/>
            </w:tcBorders>
          </w:tcPr>
          <w:p w:rsidR="001539F0" w:rsidRPr="009E318C" w:rsidRDefault="001539F0" w:rsidP="001539F0">
            <w:r w:rsidRPr="009E318C">
              <w:t>4.39</w:t>
            </w:r>
          </w:p>
        </w:tc>
        <w:tc>
          <w:tcPr>
            <w:tcW w:w="1080" w:type="dxa"/>
            <w:tcBorders>
              <w:top w:val="single" w:sz="4" w:space="0" w:color="auto"/>
              <w:left w:val="single" w:sz="4" w:space="0" w:color="auto"/>
              <w:bottom w:val="single" w:sz="4" w:space="0" w:color="auto"/>
              <w:right w:val="single" w:sz="4" w:space="0" w:color="auto"/>
            </w:tcBorders>
          </w:tcPr>
          <w:p w:rsidR="001539F0" w:rsidRPr="009E318C" w:rsidRDefault="001539F0" w:rsidP="001539F0">
            <w:r w:rsidRPr="009E318C">
              <w:t>3.73</w:t>
            </w:r>
          </w:p>
        </w:tc>
        <w:tc>
          <w:tcPr>
            <w:tcW w:w="1243" w:type="dxa"/>
            <w:tcBorders>
              <w:top w:val="single" w:sz="4" w:space="0" w:color="auto"/>
              <w:left w:val="single" w:sz="4" w:space="0" w:color="auto"/>
              <w:bottom w:val="single" w:sz="4" w:space="0" w:color="auto"/>
              <w:right w:val="single" w:sz="4" w:space="0" w:color="auto"/>
            </w:tcBorders>
            <w:vAlign w:val="bottom"/>
          </w:tcPr>
          <w:p w:rsidR="001539F0" w:rsidRPr="00716729" w:rsidRDefault="00D709EC" w:rsidP="001539F0">
            <w:pPr>
              <w:jc w:val="center"/>
              <w:rPr>
                <w:rFonts w:ascii="Calibri" w:hAnsi="Calibri"/>
                <w:color w:val="000000"/>
              </w:rPr>
            </w:pPr>
            <w:r>
              <w:rPr>
                <w:rFonts w:ascii="Calibri" w:hAnsi="Calibri"/>
                <w:color w:val="000000"/>
              </w:rPr>
              <w:t>6.86</w:t>
            </w:r>
          </w:p>
        </w:tc>
      </w:tr>
      <w:tr w:rsidR="001539F0" w:rsidRPr="00F05E23" w:rsidTr="00F726AD">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hideMark/>
          </w:tcPr>
          <w:p w:rsidR="001539F0" w:rsidRPr="0056156C" w:rsidRDefault="001539F0" w:rsidP="001539F0">
            <w:pPr>
              <w:spacing w:line="276" w:lineRule="auto"/>
              <w:rPr>
                <w:rFonts w:ascii="Calibri" w:hAnsi="Calibri"/>
                <w:color w:val="000000"/>
                <w:sz w:val="4"/>
                <w:szCs w:val="4"/>
              </w:rPr>
            </w:pPr>
          </w:p>
          <w:p w:rsidR="001539F0" w:rsidRPr="00F05E23" w:rsidRDefault="001539F0" w:rsidP="001539F0">
            <w:pPr>
              <w:spacing w:line="276" w:lineRule="auto"/>
              <w:rPr>
                <w:rFonts w:ascii="Calibri" w:hAnsi="Calibri"/>
                <w:color w:val="000000"/>
              </w:rPr>
            </w:pPr>
            <w:r w:rsidRPr="00F05E23">
              <w:rPr>
                <w:rFonts w:ascii="Calibri" w:hAnsi="Calibri"/>
                <w:color w:val="000000"/>
                <w:szCs w:val="22"/>
              </w:rPr>
              <w:t>Falls</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39F0" w:rsidRPr="00A2219F" w:rsidRDefault="001539F0" w:rsidP="001539F0">
            <w:pPr>
              <w:jc w:val="center"/>
            </w:pPr>
            <w:r w:rsidRPr="00A2219F">
              <w:t>6.44</w:t>
            </w:r>
          </w:p>
        </w:tc>
        <w:tc>
          <w:tcPr>
            <w:tcW w:w="1187" w:type="dxa"/>
            <w:tcBorders>
              <w:top w:val="single" w:sz="4" w:space="0" w:color="auto"/>
              <w:left w:val="single" w:sz="4" w:space="0" w:color="auto"/>
              <w:bottom w:val="single" w:sz="4" w:space="0" w:color="auto"/>
              <w:right w:val="single" w:sz="4" w:space="0" w:color="auto"/>
            </w:tcBorders>
          </w:tcPr>
          <w:p w:rsidR="001539F0" w:rsidRPr="009E318C" w:rsidRDefault="001539F0" w:rsidP="001539F0">
            <w:r w:rsidRPr="009E318C">
              <w:t>5.98</w:t>
            </w:r>
          </w:p>
        </w:tc>
        <w:tc>
          <w:tcPr>
            <w:tcW w:w="1159" w:type="dxa"/>
            <w:tcBorders>
              <w:top w:val="single" w:sz="4" w:space="0" w:color="auto"/>
              <w:left w:val="single" w:sz="4" w:space="0" w:color="auto"/>
              <w:bottom w:val="single" w:sz="4" w:space="0" w:color="auto"/>
              <w:right w:val="single" w:sz="4" w:space="0" w:color="auto"/>
            </w:tcBorders>
          </w:tcPr>
          <w:p w:rsidR="001539F0" w:rsidRPr="009E318C" w:rsidRDefault="001539F0" w:rsidP="001539F0">
            <w:r w:rsidRPr="009E318C">
              <w:t>5.49</w:t>
            </w:r>
          </w:p>
        </w:tc>
        <w:tc>
          <w:tcPr>
            <w:tcW w:w="1080" w:type="dxa"/>
            <w:tcBorders>
              <w:top w:val="single" w:sz="4" w:space="0" w:color="auto"/>
              <w:left w:val="single" w:sz="4" w:space="0" w:color="auto"/>
              <w:bottom w:val="single" w:sz="4" w:space="0" w:color="auto"/>
              <w:right w:val="single" w:sz="4" w:space="0" w:color="auto"/>
            </w:tcBorders>
          </w:tcPr>
          <w:p w:rsidR="001539F0" w:rsidRPr="009E318C" w:rsidRDefault="001539F0" w:rsidP="001539F0">
            <w:r w:rsidRPr="009E318C">
              <w:t>4.22</w:t>
            </w:r>
          </w:p>
        </w:tc>
        <w:tc>
          <w:tcPr>
            <w:tcW w:w="1243" w:type="dxa"/>
            <w:tcBorders>
              <w:top w:val="single" w:sz="4" w:space="0" w:color="auto"/>
              <w:left w:val="single" w:sz="4" w:space="0" w:color="auto"/>
              <w:bottom w:val="single" w:sz="4" w:space="0" w:color="auto"/>
              <w:right w:val="single" w:sz="4" w:space="0" w:color="auto"/>
            </w:tcBorders>
            <w:vAlign w:val="bottom"/>
          </w:tcPr>
          <w:p w:rsidR="001539F0" w:rsidRPr="00716729" w:rsidRDefault="00D709EC" w:rsidP="001539F0">
            <w:pPr>
              <w:spacing w:line="276" w:lineRule="auto"/>
              <w:jc w:val="center"/>
              <w:rPr>
                <w:rFonts w:ascii="Calibri" w:hAnsi="Calibri"/>
                <w:color w:val="000000"/>
              </w:rPr>
            </w:pPr>
            <w:r>
              <w:rPr>
                <w:rFonts w:ascii="Calibri" w:hAnsi="Calibri"/>
                <w:color w:val="000000"/>
              </w:rPr>
              <w:t>7.24</w:t>
            </w:r>
          </w:p>
        </w:tc>
      </w:tr>
      <w:tr w:rsidR="001539F0" w:rsidRPr="00F05E23" w:rsidTr="00F726AD">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9F0" w:rsidRPr="0056156C" w:rsidRDefault="001539F0" w:rsidP="001539F0">
            <w:pPr>
              <w:spacing w:line="276" w:lineRule="auto"/>
              <w:rPr>
                <w:rFonts w:ascii="Calibri" w:hAnsi="Calibri"/>
                <w:color w:val="000000"/>
                <w:sz w:val="8"/>
                <w:szCs w:val="8"/>
              </w:rPr>
            </w:pPr>
            <w:r w:rsidRPr="00F05E23">
              <w:rPr>
                <w:rFonts w:ascii="Calibri" w:hAnsi="Calibri"/>
                <w:color w:val="000000"/>
                <w:szCs w:val="22"/>
              </w:rPr>
              <w:t>Medication Errors</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39F0" w:rsidRPr="00A2219F" w:rsidRDefault="001539F0" w:rsidP="001539F0">
            <w:pPr>
              <w:jc w:val="center"/>
            </w:pPr>
            <w:r w:rsidRPr="00A2219F">
              <w:t>2.87</w:t>
            </w:r>
          </w:p>
        </w:tc>
        <w:tc>
          <w:tcPr>
            <w:tcW w:w="1187" w:type="dxa"/>
            <w:tcBorders>
              <w:top w:val="single" w:sz="4" w:space="0" w:color="auto"/>
              <w:left w:val="single" w:sz="4" w:space="0" w:color="auto"/>
              <w:bottom w:val="single" w:sz="4" w:space="0" w:color="auto"/>
              <w:right w:val="single" w:sz="4" w:space="0" w:color="auto"/>
            </w:tcBorders>
          </w:tcPr>
          <w:p w:rsidR="001539F0" w:rsidRPr="009E318C" w:rsidRDefault="001539F0" w:rsidP="001539F0">
            <w:r w:rsidRPr="009E318C">
              <w:t>3.38</w:t>
            </w:r>
          </w:p>
        </w:tc>
        <w:tc>
          <w:tcPr>
            <w:tcW w:w="1159" w:type="dxa"/>
            <w:tcBorders>
              <w:top w:val="single" w:sz="4" w:space="0" w:color="auto"/>
              <w:left w:val="single" w:sz="4" w:space="0" w:color="auto"/>
              <w:bottom w:val="single" w:sz="4" w:space="0" w:color="auto"/>
              <w:right w:val="single" w:sz="4" w:space="0" w:color="auto"/>
            </w:tcBorders>
          </w:tcPr>
          <w:p w:rsidR="001539F0" w:rsidRPr="009E318C" w:rsidRDefault="001539F0" w:rsidP="001539F0">
            <w:r w:rsidRPr="009E318C">
              <w:t>1.83</w:t>
            </w:r>
          </w:p>
        </w:tc>
        <w:tc>
          <w:tcPr>
            <w:tcW w:w="1080" w:type="dxa"/>
            <w:tcBorders>
              <w:top w:val="single" w:sz="4" w:space="0" w:color="auto"/>
              <w:left w:val="single" w:sz="4" w:space="0" w:color="auto"/>
              <w:bottom w:val="single" w:sz="4" w:space="0" w:color="auto"/>
              <w:right w:val="single" w:sz="4" w:space="0" w:color="auto"/>
            </w:tcBorders>
          </w:tcPr>
          <w:p w:rsidR="001539F0" w:rsidRPr="009E318C" w:rsidRDefault="001539F0" w:rsidP="001539F0">
            <w:r w:rsidRPr="009E318C">
              <w:t>1.49</w:t>
            </w:r>
          </w:p>
        </w:tc>
        <w:tc>
          <w:tcPr>
            <w:tcW w:w="1243" w:type="dxa"/>
            <w:tcBorders>
              <w:top w:val="single" w:sz="4" w:space="0" w:color="auto"/>
              <w:left w:val="single" w:sz="4" w:space="0" w:color="auto"/>
              <w:bottom w:val="single" w:sz="4" w:space="0" w:color="auto"/>
              <w:right w:val="single" w:sz="4" w:space="0" w:color="auto"/>
            </w:tcBorders>
            <w:vAlign w:val="bottom"/>
          </w:tcPr>
          <w:p w:rsidR="001539F0" w:rsidRPr="00716729" w:rsidRDefault="00D709EC" w:rsidP="001539F0">
            <w:pPr>
              <w:spacing w:line="276" w:lineRule="auto"/>
              <w:jc w:val="center"/>
              <w:rPr>
                <w:rFonts w:ascii="Calibri" w:hAnsi="Calibri"/>
                <w:color w:val="000000"/>
              </w:rPr>
            </w:pPr>
            <w:r>
              <w:rPr>
                <w:rFonts w:ascii="Calibri" w:hAnsi="Calibri"/>
                <w:color w:val="000000"/>
              </w:rPr>
              <w:t>2.24</w:t>
            </w:r>
          </w:p>
        </w:tc>
      </w:tr>
      <w:tr w:rsidR="001539F0" w:rsidRPr="00F05E23" w:rsidTr="00F726AD">
        <w:trPr>
          <w:trHeight w:val="70"/>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9F0" w:rsidRPr="00540195" w:rsidRDefault="001539F0" w:rsidP="001539F0">
            <w:pPr>
              <w:spacing w:line="276" w:lineRule="auto"/>
              <w:rPr>
                <w:rFonts w:ascii="Calibri" w:hAnsi="Calibri"/>
                <w:color w:val="000000"/>
              </w:rPr>
            </w:pPr>
            <w:r w:rsidRPr="00540195">
              <w:rPr>
                <w:rFonts w:ascii="Calibri" w:hAnsi="Calibri"/>
                <w:color w:val="000000"/>
                <w:szCs w:val="22"/>
              </w:rPr>
              <w:t>Other</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39F0" w:rsidRPr="00A2219F" w:rsidRDefault="001539F0" w:rsidP="001539F0">
            <w:pPr>
              <w:jc w:val="center"/>
            </w:pPr>
            <w:r w:rsidRPr="00A2219F">
              <w:t>5.62</w:t>
            </w:r>
          </w:p>
        </w:tc>
        <w:tc>
          <w:tcPr>
            <w:tcW w:w="1187" w:type="dxa"/>
            <w:tcBorders>
              <w:top w:val="single" w:sz="4" w:space="0" w:color="auto"/>
              <w:left w:val="single" w:sz="4" w:space="0" w:color="auto"/>
              <w:bottom w:val="single" w:sz="4" w:space="0" w:color="auto"/>
              <w:right w:val="single" w:sz="4" w:space="0" w:color="auto"/>
            </w:tcBorders>
          </w:tcPr>
          <w:p w:rsidR="001539F0" w:rsidRPr="009E318C" w:rsidRDefault="001539F0" w:rsidP="001539F0">
            <w:r w:rsidRPr="009E318C">
              <w:t>5.46</w:t>
            </w:r>
          </w:p>
        </w:tc>
        <w:tc>
          <w:tcPr>
            <w:tcW w:w="1159" w:type="dxa"/>
            <w:tcBorders>
              <w:top w:val="single" w:sz="4" w:space="0" w:color="auto"/>
              <w:left w:val="single" w:sz="4" w:space="0" w:color="auto"/>
              <w:bottom w:val="single" w:sz="4" w:space="0" w:color="auto"/>
              <w:right w:val="single" w:sz="4" w:space="0" w:color="auto"/>
            </w:tcBorders>
          </w:tcPr>
          <w:p w:rsidR="001539F0" w:rsidRPr="009E318C" w:rsidRDefault="001539F0" w:rsidP="001539F0">
            <w:r w:rsidRPr="009E318C">
              <w:t>4.76</w:t>
            </w:r>
          </w:p>
        </w:tc>
        <w:tc>
          <w:tcPr>
            <w:tcW w:w="1080" w:type="dxa"/>
            <w:tcBorders>
              <w:top w:val="single" w:sz="4" w:space="0" w:color="auto"/>
              <w:left w:val="single" w:sz="4" w:space="0" w:color="auto"/>
              <w:bottom w:val="single" w:sz="4" w:space="0" w:color="auto"/>
              <w:right w:val="single" w:sz="4" w:space="0" w:color="auto"/>
            </w:tcBorders>
          </w:tcPr>
          <w:p w:rsidR="001539F0" w:rsidRPr="009E318C" w:rsidRDefault="001539F0" w:rsidP="001539F0">
            <w:r w:rsidRPr="009E318C">
              <w:t>1.2</w:t>
            </w:r>
          </w:p>
        </w:tc>
        <w:tc>
          <w:tcPr>
            <w:tcW w:w="1243" w:type="dxa"/>
            <w:tcBorders>
              <w:top w:val="single" w:sz="4" w:space="0" w:color="auto"/>
              <w:left w:val="single" w:sz="4" w:space="0" w:color="auto"/>
              <w:bottom w:val="single" w:sz="4" w:space="0" w:color="auto"/>
              <w:right w:val="single" w:sz="4" w:space="0" w:color="auto"/>
            </w:tcBorders>
            <w:vAlign w:val="bottom"/>
          </w:tcPr>
          <w:p w:rsidR="001539F0" w:rsidRPr="00716729" w:rsidRDefault="00D709EC" w:rsidP="001539F0">
            <w:pPr>
              <w:jc w:val="center"/>
              <w:rPr>
                <w:rFonts w:ascii="Calibri" w:hAnsi="Calibri"/>
                <w:color w:val="000000"/>
              </w:rPr>
            </w:pPr>
            <w:r>
              <w:rPr>
                <w:rFonts w:ascii="Calibri" w:hAnsi="Calibri"/>
                <w:color w:val="000000"/>
              </w:rPr>
              <w:t>3.99</w:t>
            </w:r>
          </w:p>
        </w:tc>
      </w:tr>
      <w:tr w:rsidR="001539F0" w:rsidRPr="00F05E23" w:rsidTr="00F726AD">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9F0" w:rsidRPr="00F05E23" w:rsidRDefault="001539F0" w:rsidP="001539F0">
            <w:pPr>
              <w:spacing w:line="276" w:lineRule="auto"/>
              <w:ind w:right="-18"/>
              <w:jc w:val="right"/>
              <w:rPr>
                <w:rFonts w:ascii="Calibri" w:hAnsi="Calibri"/>
                <w:b/>
                <w:bCs/>
                <w:color w:val="000000"/>
              </w:rPr>
            </w:pPr>
            <w:r>
              <w:rPr>
                <w:rFonts w:ascii="Calibri" w:hAnsi="Calibri"/>
                <w:b/>
                <w:bCs/>
                <w:color w:val="000000"/>
                <w:szCs w:val="22"/>
              </w:rPr>
              <w:t xml:space="preserve">Total </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39F0" w:rsidRPr="00D709EC" w:rsidRDefault="001539F0" w:rsidP="001539F0">
            <w:pPr>
              <w:jc w:val="center"/>
              <w:rPr>
                <w:b/>
              </w:rPr>
            </w:pPr>
            <w:r w:rsidRPr="00D709EC">
              <w:rPr>
                <w:b/>
              </w:rPr>
              <w:t>20.00</w:t>
            </w:r>
          </w:p>
        </w:tc>
        <w:tc>
          <w:tcPr>
            <w:tcW w:w="1187" w:type="dxa"/>
            <w:tcBorders>
              <w:top w:val="single" w:sz="4" w:space="0" w:color="auto"/>
              <w:left w:val="single" w:sz="4" w:space="0" w:color="auto"/>
              <w:bottom w:val="single" w:sz="4" w:space="0" w:color="auto"/>
              <w:right w:val="single" w:sz="4" w:space="0" w:color="auto"/>
            </w:tcBorders>
          </w:tcPr>
          <w:p w:rsidR="001539F0" w:rsidRPr="00D709EC" w:rsidRDefault="001539F0" w:rsidP="001539F0">
            <w:pPr>
              <w:rPr>
                <w:b/>
              </w:rPr>
            </w:pPr>
            <w:r w:rsidRPr="00D709EC">
              <w:rPr>
                <w:b/>
              </w:rPr>
              <w:t>21.58</w:t>
            </w:r>
          </w:p>
        </w:tc>
        <w:tc>
          <w:tcPr>
            <w:tcW w:w="1159" w:type="dxa"/>
            <w:tcBorders>
              <w:top w:val="single" w:sz="4" w:space="0" w:color="auto"/>
              <w:left w:val="single" w:sz="4" w:space="0" w:color="auto"/>
              <w:bottom w:val="single" w:sz="4" w:space="0" w:color="auto"/>
              <w:right w:val="single" w:sz="4" w:space="0" w:color="auto"/>
            </w:tcBorders>
          </w:tcPr>
          <w:p w:rsidR="001539F0" w:rsidRPr="00D709EC" w:rsidRDefault="001539F0" w:rsidP="001539F0">
            <w:pPr>
              <w:rPr>
                <w:b/>
              </w:rPr>
            </w:pPr>
            <w:r w:rsidRPr="00D709EC">
              <w:rPr>
                <w:b/>
              </w:rPr>
              <w:t>16.47</w:t>
            </w:r>
          </w:p>
        </w:tc>
        <w:tc>
          <w:tcPr>
            <w:tcW w:w="1080" w:type="dxa"/>
            <w:tcBorders>
              <w:top w:val="single" w:sz="4" w:space="0" w:color="auto"/>
              <w:left w:val="single" w:sz="4" w:space="0" w:color="auto"/>
              <w:bottom w:val="single" w:sz="4" w:space="0" w:color="auto"/>
              <w:right w:val="single" w:sz="4" w:space="0" w:color="auto"/>
            </w:tcBorders>
          </w:tcPr>
          <w:p w:rsidR="001539F0" w:rsidRPr="00D709EC" w:rsidRDefault="001539F0" w:rsidP="001539F0">
            <w:pPr>
              <w:rPr>
                <w:b/>
              </w:rPr>
            </w:pPr>
            <w:r w:rsidRPr="00D709EC">
              <w:rPr>
                <w:b/>
              </w:rPr>
              <w:t>10.68</w:t>
            </w:r>
          </w:p>
        </w:tc>
        <w:tc>
          <w:tcPr>
            <w:tcW w:w="1243" w:type="dxa"/>
            <w:tcBorders>
              <w:top w:val="single" w:sz="4" w:space="0" w:color="auto"/>
              <w:left w:val="single" w:sz="4" w:space="0" w:color="auto"/>
              <w:bottom w:val="single" w:sz="4" w:space="0" w:color="auto"/>
              <w:right w:val="single" w:sz="4" w:space="0" w:color="auto"/>
            </w:tcBorders>
            <w:vAlign w:val="bottom"/>
          </w:tcPr>
          <w:p w:rsidR="001539F0" w:rsidRPr="00D709EC" w:rsidRDefault="00D709EC" w:rsidP="001539F0">
            <w:pPr>
              <w:jc w:val="center"/>
              <w:rPr>
                <w:rFonts w:ascii="Calibri" w:hAnsi="Calibri"/>
                <w:b/>
                <w:bCs/>
                <w:color w:val="000000"/>
              </w:rPr>
            </w:pPr>
            <w:r w:rsidRPr="00D709EC">
              <w:rPr>
                <w:rFonts w:ascii="Calibri" w:hAnsi="Calibri"/>
                <w:b/>
                <w:bCs/>
                <w:color w:val="000000"/>
              </w:rPr>
              <w:t>20.33</w:t>
            </w:r>
          </w:p>
        </w:tc>
      </w:tr>
    </w:tbl>
    <w:p w:rsidR="007C02F8" w:rsidRDefault="007C02F8" w:rsidP="007C02F8">
      <w:pPr>
        <w:spacing w:line="276" w:lineRule="auto"/>
      </w:pPr>
    </w:p>
    <w:p w:rsidR="00CF1910" w:rsidRDefault="00CF1910" w:rsidP="007C02F8">
      <w:pPr>
        <w:spacing w:line="276" w:lineRule="auto"/>
      </w:pPr>
    </w:p>
    <w:p w:rsidR="00CF1910" w:rsidRDefault="00CF1910" w:rsidP="007C02F8">
      <w:pPr>
        <w:spacing w:line="276" w:lineRule="auto"/>
      </w:pPr>
    </w:p>
    <w:p w:rsidR="007C02F8" w:rsidRDefault="007C02F8" w:rsidP="007C02F8">
      <w:pPr>
        <w:rPr>
          <w:rFonts w:ascii="Calibri" w:hAnsi="Calibri" w:cs="ArialNarrow"/>
          <w:b/>
          <w:sz w:val="24"/>
        </w:rPr>
      </w:pPr>
      <w:r w:rsidRPr="0038381D">
        <w:rPr>
          <w:rFonts w:ascii="Calibri" w:hAnsi="Calibri" w:cs="ArialNarrow"/>
          <w:b/>
          <w:noProof/>
          <w:sz w:val="24"/>
          <w:bdr w:val="single" w:sz="8" w:space="0" w:color="auto"/>
          <w:lang w:val="en-CA" w:eastAsia="en-CA"/>
        </w:rPr>
        <w:drawing>
          <wp:inline distT="0" distB="0" distL="0" distR="0">
            <wp:extent cx="6335395" cy="3827417"/>
            <wp:effectExtent l="0" t="0" r="8255"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02F8" w:rsidRDefault="007C02F8" w:rsidP="007C02F8">
      <w:pPr>
        <w:rPr>
          <w:rFonts w:ascii="Calibri" w:hAnsi="Calibri" w:cs="ArialNarrow"/>
          <w:b/>
          <w:sz w:val="24"/>
        </w:rPr>
      </w:pPr>
    </w:p>
    <w:p w:rsidR="007C02F8" w:rsidRDefault="007C02F8" w:rsidP="007C02F8">
      <w:pPr>
        <w:rPr>
          <w:rFonts w:ascii="Calibri" w:hAnsi="Calibri" w:cs="ArialNarrow"/>
          <w:b/>
          <w:sz w:val="24"/>
        </w:rPr>
      </w:pPr>
    </w:p>
    <w:p w:rsidR="007C02F8" w:rsidRDefault="007C02F8" w:rsidP="007C02F8">
      <w:pPr>
        <w:rPr>
          <w:rFonts w:ascii="Calibri" w:hAnsi="Calibri" w:cs="ArialNarrow"/>
          <w:b/>
          <w:sz w:val="24"/>
        </w:rPr>
      </w:pPr>
    </w:p>
    <w:p w:rsidR="007C02F8" w:rsidRDefault="007C02F8" w:rsidP="007C02F8">
      <w:pPr>
        <w:rPr>
          <w:rFonts w:ascii="Calibri" w:hAnsi="Calibri" w:cs="ArialNarrow"/>
          <w:b/>
          <w:sz w:val="24"/>
        </w:rPr>
      </w:pPr>
    </w:p>
    <w:p w:rsidR="007C02F8" w:rsidRDefault="007C02F8" w:rsidP="007C02F8">
      <w:pPr>
        <w:rPr>
          <w:rFonts w:ascii="Calibri" w:hAnsi="Calibri" w:cs="ArialNarrow"/>
          <w:b/>
          <w:sz w:val="24"/>
        </w:rPr>
      </w:pPr>
      <w:r w:rsidRPr="006A52C1">
        <w:rPr>
          <w:rFonts w:ascii="Calibri" w:hAnsi="Calibri" w:cs="ArialNarrow"/>
          <w:b/>
          <w:noProof/>
          <w:sz w:val="24"/>
          <w:bdr w:val="single" w:sz="8" w:space="0" w:color="auto"/>
          <w:lang w:val="en-CA" w:eastAsia="en-CA"/>
        </w:rPr>
        <w:drawing>
          <wp:inline distT="0" distB="0" distL="0" distR="0">
            <wp:extent cx="6126480" cy="3688080"/>
            <wp:effectExtent l="0" t="0" r="762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331B" w:rsidRDefault="0082331B" w:rsidP="007C02F8">
      <w:pPr>
        <w:rPr>
          <w:rFonts w:ascii="Calibri" w:hAnsi="Calibri" w:cs="ArialNarrow"/>
          <w:b/>
          <w:sz w:val="24"/>
        </w:rPr>
      </w:pPr>
    </w:p>
    <w:p w:rsidR="001206C5" w:rsidRDefault="001206C5" w:rsidP="007C02F8">
      <w:pPr>
        <w:rPr>
          <w:rFonts w:ascii="Calibri" w:hAnsi="Calibri" w:cs="ArialNarrow"/>
          <w:b/>
          <w:szCs w:val="22"/>
        </w:rPr>
      </w:pPr>
    </w:p>
    <w:p w:rsidR="006033F1" w:rsidRDefault="007C02F8" w:rsidP="00511E80">
      <w:pPr>
        <w:rPr>
          <w:rFonts w:ascii="Calibri" w:hAnsi="Calibri" w:cs="ArialNarrow"/>
          <w:b/>
          <w:szCs w:val="22"/>
        </w:rPr>
      </w:pPr>
      <w:r w:rsidRPr="009400B4">
        <w:rPr>
          <w:rFonts w:ascii="Calibri" w:hAnsi="Calibri" w:cs="ArialNarrow"/>
          <w:b/>
          <w:szCs w:val="22"/>
        </w:rPr>
        <w:t>Comments:</w:t>
      </w:r>
      <w:r w:rsidR="006033F1">
        <w:rPr>
          <w:rFonts w:ascii="Calibri" w:hAnsi="Calibri" w:cs="ArialNarrow"/>
          <w:b/>
          <w:szCs w:val="22"/>
        </w:rPr>
        <w:t xml:space="preserve"> </w:t>
      </w:r>
    </w:p>
    <w:p w:rsidR="00511E80" w:rsidRDefault="00511E80" w:rsidP="00511E80">
      <w:pPr>
        <w:rPr>
          <w:rFonts w:ascii="Calibri" w:hAnsi="Calibri" w:cs="ArialNarrow"/>
          <w:b/>
          <w:sz w:val="16"/>
          <w:szCs w:val="16"/>
        </w:rPr>
      </w:pPr>
    </w:p>
    <w:p w:rsidR="00413FCB" w:rsidRDefault="00260D86" w:rsidP="00714CCA">
      <w:pPr>
        <w:rPr>
          <w:rFonts w:ascii="Calibri" w:hAnsi="Calibri" w:cs="ArialNarrow"/>
          <w:szCs w:val="22"/>
        </w:rPr>
      </w:pPr>
      <w:r>
        <w:rPr>
          <w:rFonts w:ascii="Calibri" w:hAnsi="Calibri" w:cs="ArialNarrow"/>
          <w:szCs w:val="22"/>
        </w:rPr>
        <w:t>2022-2023 saw us through a third</w:t>
      </w:r>
      <w:r w:rsidR="00714CCA">
        <w:rPr>
          <w:rFonts w:ascii="Calibri" w:hAnsi="Calibri" w:cs="ArialNarrow"/>
          <w:szCs w:val="22"/>
        </w:rPr>
        <w:t xml:space="preserve"> </w:t>
      </w:r>
      <w:r w:rsidR="00714CCA" w:rsidRPr="00714CCA">
        <w:rPr>
          <w:rFonts w:ascii="Calibri" w:hAnsi="Calibri" w:cs="ArialNarrow"/>
          <w:szCs w:val="22"/>
        </w:rPr>
        <w:t xml:space="preserve">year </w:t>
      </w:r>
      <w:r w:rsidR="00714CCA">
        <w:rPr>
          <w:rFonts w:ascii="Calibri" w:hAnsi="Calibri" w:cs="ArialNarrow"/>
          <w:szCs w:val="22"/>
        </w:rPr>
        <w:t>of the pandemic</w:t>
      </w:r>
      <w:r w:rsidR="00413FCB">
        <w:rPr>
          <w:rFonts w:ascii="Calibri" w:hAnsi="Calibri" w:cs="ArialNarrow"/>
          <w:szCs w:val="22"/>
        </w:rPr>
        <w:t xml:space="preserve"> and a return to modified normal operations</w:t>
      </w:r>
      <w:r w:rsidR="00714CCA">
        <w:rPr>
          <w:rFonts w:ascii="Calibri" w:hAnsi="Calibri" w:cs="ArialNarrow"/>
          <w:szCs w:val="22"/>
        </w:rPr>
        <w:t xml:space="preserve">. The Shoreham team continued to demonstrate </w:t>
      </w:r>
      <w:r w:rsidR="00413FCB">
        <w:rPr>
          <w:rFonts w:ascii="Calibri" w:hAnsi="Calibri" w:cs="ArialNarrow"/>
          <w:szCs w:val="22"/>
        </w:rPr>
        <w:t xml:space="preserve">resilience and adaptation while supporting </w:t>
      </w:r>
      <w:r w:rsidR="00714CCA" w:rsidRPr="00714CCA">
        <w:rPr>
          <w:rFonts w:ascii="Calibri" w:hAnsi="Calibri" w:cs="ArialNarrow"/>
          <w:szCs w:val="22"/>
        </w:rPr>
        <w:t xml:space="preserve">residents and their families </w:t>
      </w:r>
      <w:r w:rsidR="00413FCB">
        <w:rPr>
          <w:rFonts w:ascii="Calibri" w:hAnsi="Calibri" w:cs="ArialNarrow"/>
          <w:szCs w:val="22"/>
        </w:rPr>
        <w:t xml:space="preserve">through suspected and confirmed </w:t>
      </w:r>
      <w:r w:rsidR="00714CCA">
        <w:rPr>
          <w:rFonts w:ascii="Calibri" w:hAnsi="Calibri" w:cs="ArialNarrow"/>
          <w:szCs w:val="22"/>
        </w:rPr>
        <w:t xml:space="preserve">COVID </w:t>
      </w:r>
      <w:r w:rsidR="00413FCB">
        <w:rPr>
          <w:rFonts w:ascii="Calibri" w:hAnsi="Calibri" w:cs="ArialNarrow"/>
          <w:szCs w:val="22"/>
        </w:rPr>
        <w:t xml:space="preserve">outbreaks. </w:t>
      </w:r>
      <w:r w:rsidR="00714CCA" w:rsidRPr="00714CCA">
        <w:rPr>
          <w:rFonts w:ascii="Calibri" w:hAnsi="Calibri" w:cs="ArialNarrow"/>
          <w:szCs w:val="22"/>
        </w:rPr>
        <w:t xml:space="preserve">Shoreham implemented required protocols to keep staff and residents safe while continuing to </w:t>
      </w:r>
      <w:r w:rsidR="00957E64">
        <w:rPr>
          <w:rFonts w:ascii="Calibri" w:hAnsi="Calibri" w:cs="ArialNarrow"/>
          <w:szCs w:val="22"/>
        </w:rPr>
        <w:t xml:space="preserve">support required renovations and </w:t>
      </w:r>
      <w:r w:rsidR="00714CCA" w:rsidRPr="00714CCA">
        <w:rPr>
          <w:rFonts w:ascii="Calibri" w:hAnsi="Calibri" w:cs="ArialNarrow"/>
          <w:szCs w:val="22"/>
        </w:rPr>
        <w:t>provide a high standard of quality care</w:t>
      </w:r>
      <w:r w:rsidR="00957E64">
        <w:rPr>
          <w:rFonts w:ascii="Calibri" w:hAnsi="Calibri" w:cs="ArialNarrow"/>
          <w:szCs w:val="22"/>
        </w:rPr>
        <w:t>.</w:t>
      </w:r>
      <w:r w:rsidR="00714CCA" w:rsidRPr="00714CCA">
        <w:rPr>
          <w:rFonts w:ascii="Calibri" w:hAnsi="Calibri" w:cs="ArialNarrow"/>
          <w:szCs w:val="22"/>
        </w:rPr>
        <w:t xml:space="preserve"> </w:t>
      </w:r>
    </w:p>
    <w:p w:rsidR="00413FCB" w:rsidRDefault="00413FCB" w:rsidP="00714CCA">
      <w:pPr>
        <w:rPr>
          <w:rFonts w:ascii="Calibri" w:hAnsi="Calibri" w:cs="ArialNarrow"/>
          <w:szCs w:val="22"/>
        </w:rPr>
      </w:pPr>
    </w:p>
    <w:p w:rsidR="00714CCA" w:rsidRPr="00714CCA" w:rsidRDefault="00413FCB" w:rsidP="00714CCA">
      <w:pPr>
        <w:rPr>
          <w:rFonts w:ascii="Calibri" w:hAnsi="Calibri" w:cs="ArialNarrow"/>
          <w:szCs w:val="22"/>
        </w:rPr>
      </w:pPr>
      <w:r>
        <w:rPr>
          <w:rFonts w:ascii="Calibri" w:hAnsi="Calibri" w:cs="ArialNarrow"/>
          <w:szCs w:val="22"/>
        </w:rPr>
        <w:t xml:space="preserve">Shoreham has also been navigating significant staffing challenges which has required continued reliance on travel and agency staff.  This has been welcome support and the Shoreham </w:t>
      </w:r>
      <w:r w:rsidR="0020710C">
        <w:rPr>
          <w:rFonts w:ascii="Calibri" w:hAnsi="Calibri" w:cs="ArialNarrow"/>
          <w:szCs w:val="22"/>
        </w:rPr>
        <w:t xml:space="preserve">team has been providing </w:t>
      </w:r>
      <w:r>
        <w:rPr>
          <w:rFonts w:ascii="Calibri" w:hAnsi="Calibri" w:cs="ArialNarrow"/>
          <w:szCs w:val="22"/>
        </w:rPr>
        <w:t>orientation and coaching to the varie</w:t>
      </w:r>
      <w:r w:rsidR="0020710C">
        <w:rPr>
          <w:rFonts w:ascii="Calibri" w:hAnsi="Calibri" w:cs="ArialNarrow"/>
          <w:szCs w:val="22"/>
        </w:rPr>
        <w:t>ty of new staff joining</w:t>
      </w:r>
      <w:r>
        <w:rPr>
          <w:rFonts w:ascii="Calibri" w:hAnsi="Calibri" w:cs="ArialNarrow"/>
          <w:szCs w:val="22"/>
        </w:rPr>
        <w:t xml:space="preserve"> on short-term contacts. We have created new orientation learning pathways for agency and travel staff to ensure they have the information that they need while on short assignment. </w:t>
      </w:r>
    </w:p>
    <w:p w:rsidR="00714CCA" w:rsidRPr="00714CCA" w:rsidRDefault="00714CCA" w:rsidP="00714CCA">
      <w:pPr>
        <w:rPr>
          <w:rFonts w:ascii="Calibri" w:hAnsi="Calibri" w:cs="ArialNarrow"/>
          <w:szCs w:val="22"/>
        </w:rPr>
      </w:pPr>
    </w:p>
    <w:p w:rsidR="00714CCA" w:rsidRPr="00714CCA" w:rsidRDefault="00714CCA" w:rsidP="00714CCA">
      <w:pPr>
        <w:rPr>
          <w:rFonts w:ascii="Calibri" w:hAnsi="Calibri" w:cs="ArialNarrow"/>
          <w:szCs w:val="22"/>
        </w:rPr>
      </w:pPr>
      <w:r w:rsidRPr="00714CCA">
        <w:rPr>
          <w:rFonts w:ascii="Calibri" w:hAnsi="Calibri" w:cs="ArialNarrow"/>
          <w:szCs w:val="22"/>
        </w:rPr>
        <w:t xml:space="preserve">Overall our annual </w:t>
      </w:r>
      <w:r w:rsidR="00413FCB">
        <w:rPr>
          <w:rFonts w:ascii="Calibri" w:hAnsi="Calibri" w:cs="ArialNarrow"/>
          <w:szCs w:val="22"/>
        </w:rPr>
        <w:t>number</w:t>
      </w:r>
      <w:r>
        <w:rPr>
          <w:rFonts w:ascii="Calibri" w:hAnsi="Calibri" w:cs="ArialNarrow"/>
          <w:szCs w:val="22"/>
        </w:rPr>
        <w:t xml:space="preserve"> of incidents</w:t>
      </w:r>
      <w:r w:rsidR="00413FCB">
        <w:rPr>
          <w:rFonts w:ascii="Calibri" w:hAnsi="Calibri" w:cs="ArialNarrow"/>
          <w:szCs w:val="22"/>
        </w:rPr>
        <w:t xml:space="preserve"> (549) decreased when compared to last year and</w:t>
      </w:r>
      <w:r>
        <w:rPr>
          <w:rFonts w:ascii="Calibri" w:hAnsi="Calibri" w:cs="ArialNarrow"/>
          <w:szCs w:val="22"/>
        </w:rPr>
        <w:t xml:space="preserve"> continues to demonstrate </w:t>
      </w:r>
      <w:r w:rsidR="00413FCB">
        <w:rPr>
          <w:rFonts w:ascii="Calibri" w:hAnsi="Calibri" w:cs="ArialNarrow"/>
          <w:szCs w:val="22"/>
        </w:rPr>
        <w:t xml:space="preserve">sustained </w:t>
      </w:r>
      <w:r w:rsidRPr="00714CCA">
        <w:rPr>
          <w:rFonts w:ascii="Calibri" w:hAnsi="Calibri" w:cs="ArialNarrow"/>
          <w:szCs w:val="22"/>
        </w:rPr>
        <w:t xml:space="preserve">improvement over past years. </w:t>
      </w:r>
      <w:r>
        <w:rPr>
          <w:rFonts w:ascii="Calibri" w:hAnsi="Calibri" w:cs="ArialNarrow"/>
          <w:szCs w:val="22"/>
        </w:rPr>
        <w:t xml:space="preserve">There were 565 incidents in 2021-22 compared to 515 incidents in </w:t>
      </w:r>
      <w:r w:rsidRPr="00714CCA">
        <w:rPr>
          <w:rFonts w:ascii="Calibri" w:hAnsi="Calibri" w:cs="ArialNarrow"/>
          <w:szCs w:val="22"/>
        </w:rPr>
        <w:t>2020/21</w:t>
      </w:r>
      <w:r>
        <w:rPr>
          <w:rFonts w:ascii="Calibri" w:hAnsi="Calibri" w:cs="ArialNarrow"/>
          <w:szCs w:val="22"/>
        </w:rPr>
        <w:t xml:space="preserve">, </w:t>
      </w:r>
      <w:r w:rsidRPr="00714CCA">
        <w:rPr>
          <w:rFonts w:ascii="Calibri" w:hAnsi="Calibri" w:cs="ArialNarrow"/>
          <w:szCs w:val="22"/>
        </w:rPr>
        <w:t>570 incidents in 2019/20 and 721 in 2018/19.</w:t>
      </w:r>
    </w:p>
    <w:p w:rsidR="00714CCA" w:rsidRDefault="00714CCA" w:rsidP="00511E80">
      <w:pPr>
        <w:rPr>
          <w:rFonts w:ascii="Calibri" w:hAnsi="Calibri" w:cs="ArialNarrow"/>
          <w:b/>
          <w:sz w:val="16"/>
          <w:szCs w:val="16"/>
        </w:rPr>
      </w:pPr>
    </w:p>
    <w:p w:rsidR="00714CCA" w:rsidRPr="002958B0" w:rsidRDefault="00714CCA" w:rsidP="00511E80">
      <w:pPr>
        <w:rPr>
          <w:rFonts w:ascii="Calibri" w:hAnsi="Calibri" w:cs="ArialNarrow"/>
          <w:b/>
          <w:sz w:val="16"/>
          <w:szCs w:val="16"/>
        </w:rPr>
      </w:pPr>
    </w:p>
    <w:p w:rsidR="007C02F8" w:rsidRDefault="007C02F8" w:rsidP="007C02F8">
      <w:pPr>
        <w:rPr>
          <w:rFonts w:ascii="Calibri" w:hAnsi="Calibri" w:cs="ArialNarrow"/>
          <w:szCs w:val="22"/>
        </w:rPr>
      </w:pPr>
      <w:r w:rsidRPr="009400B4">
        <w:rPr>
          <w:rFonts w:ascii="Calibri" w:hAnsi="Calibri" w:cs="ArialNarrow"/>
          <w:szCs w:val="22"/>
        </w:rPr>
        <w:t xml:space="preserve">The number and rate of incidents have </w:t>
      </w:r>
      <w:r w:rsidR="00E4653B">
        <w:rPr>
          <w:rFonts w:ascii="Calibri" w:hAnsi="Calibri" w:cs="ArialNarrow"/>
          <w:szCs w:val="22"/>
        </w:rPr>
        <w:t xml:space="preserve">increased </w:t>
      </w:r>
      <w:r w:rsidR="0094473E">
        <w:rPr>
          <w:rFonts w:ascii="Calibri" w:hAnsi="Calibri" w:cs="ArialNarrow"/>
          <w:szCs w:val="22"/>
        </w:rPr>
        <w:t xml:space="preserve">over the last quarter </w:t>
      </w:r>
      <w:r w:rsidR="00E4653B">
        <w:rPr>
          <w:rFonts w:ascii="Calibri" w:hAnsi="Calibri" w:cs="ArialNarrow"/>
          <w:szCs w:val="22"/>
        </w:rPr>
        <w:t>(86</w:t>
      </w:r>
      <w:r w:rsidR="00511E80">
        <w:rPr>
          <w:rFonts w:ascii="Calibri" w:hAnsi="Calibri" w:cs="ArialNarrow"/>
          <w:szCs w:val="22"/>
        </w:rPr>
        <w:t xml:space="preserve">) </w:t>
      </w:r>
      <w:r w:rsidR="008E11E7">
        <w:rPr>
          <w:rFonts w:ascii="Calibri" w:hAnsi="Calibri" w:cs="ArialNarrow"/>
          <w:szCs w:val="22"/>
        </w:rPr>
        <w:t>and</w:t>
      </w:r>
      <w:r w:rsidR="0094473E">
        <w:rPr>
          <w:rFonts w:ascii="Calibri" w:hAnsi="Calibri" w:cs="ArialNarrow"/>
          <w:szCs w:val="22"/>
        </w:rPr>
        <w:t xml:space="preserve"> </w:t>
      </w:r>
      <w:r w:rsidR="00B83C00">
        <w:rPr>
          <w:rFonts w:ascii="Calibri" w:hAnsi="Calibri" w:cs="ArialNarrow"/>
          <w:szCs w:val="22"/>
        </w:rPr>
        <w:t xml:space="preserve">increased </w:t>
      </w:r>
      <w:r w:rsidR="0094473E">
        <w:rPr>
          <w:rFonts w:ascii="Calibri" w:hAnsi="Calibri" w:cs="ArialNarrow"/>
          <w:szCs w:val="22"/>
        </w:rPr>
        <w:t>over the same period of last year</w:t>
      </w:r>
      <w:r w:rsidR="00E06B0B">
        <w:rPr>
          <w:rFonts w:ascii="Calibri" w:hAnsi="Calibri" w:cs="ArialNarrow"/>
          <w:szCs w:val="22"/>
        </w:rPr>
        <w:t xml:space="preserve"> </w:t>
      </w:r>
      <w:r w:rsidR="00E4653B">
        <w:rPr>
          <w:rFonts w:ascii="Calibri" w:hAnsi="Calibri" w:cs="ArialNarrow"/>
          <w:szCs w:val="22"/>
        </w:rPr>
        <w:t>(146</w:t>
      </w:r>
      <w:r w:rsidR="00511E80">
        <w:rPr>
          <w:rFonts w:ascii="Calibri" w:hAnsi="Calibri" w:cs="ArialNarrow"/>
          <w:szCs w:val="22"/>
        </w:rPr>
        <w:t>)</w:t>
      </w:r>
      <w:r w:rsidR="0094473E">
        <w:rPr>
          <w:rFonts w:ascii="Calibri" w:hAnsi="Calibri" w:cs="ArialNarrow"/>
          <w:szCs w:val="22"/>
        </w:rPr>
        <w:t xml:space="preserve">.  </w:t>
      </w:r>
      <w:r w:rsidR="00006395">
        <w:rPr>
          <w:rFonts w:ascii="Calibri" w:hAnsi="Calibri" w:cs="ArialNarrow"/>
          <w:szCs w:val="22"/>
        </w:rPr>
        <w:t>Th</w:t>
      </w:r>
      <w:r w:rsidR="00A9520E">
        <w:rPr>
          <w:rFonts w:ascii="Calibri" w:hAnsi="Calibri" w:cs="ArialNarrow"/>
          <w:szCs w:val="22"/>
        </w:rPr>
        <w:t>e number of incidents per wing were</w:t>
      </w:r>
      <w:r w:rsidR="008E6C0F">
        <w:rPr>
          <w:rFonts w:ascii="Calibri" w:hAnsi="Calibri" w:cs="ArialNarrow"/>
          <w:szCs w:val="22"/>
        </w:rPr>
        <w:t xml:space="preserve">: A – </w:t>
      </w:r>
      <w:r w:rsidR="00E06B0B">
        <w:rPr>
          <w:rFonts w:ascii="Calibri" w:hAnsi="Calibri" w:cs="ArialNarrow"/>
          <w:szCs w:val="22"/>
        </w:rPr>
        <w:t>32</w:t>
      </w:r>
      <w:r w:rsidR="00006395">
        <w:rPr>
          <w:rFonts w:ascii="Calibri" w:hAnsi="Calibri" w:cs="ArialNarrow"/>
          <w:szCs w:val="22"/>
        </w:rPr>
        <w:t xml:space="preserve">, </w:t>
      </w:r>
      <w:r w:rsidR="006C58F8">
        <w:rPr>
          <w:rFonts w:ascii="Calibri" w:hAnsi="Calibri" w:cs="ArialNarrow"/>
          <w:szCs w:val="22"/>
        </w:rPr>
        <w:t>B</w:t>
      </w:r>
      <w:r w:rsidR="008E6C0F">
        <w:rPr>
          <w:rFonts w:ascii="Calibri" w:hAnsi="Calibri" w:cs="ArialNarrow"/>
          <w:szCs w:val="22"/>
        </w:rPr>
        <w:t xml:space="preserve"> – </w:t>
      </w:r>
      <w:r w:rsidR="00E06B0B">
        <w:rPr>
          <w:rFonts w:ascii="Calibri" w:hAnsi="Calibri" w:cs="ArialNarrow"/>
          <w:szCs w:val="22"/>
        </w:rPr>
        <w:t>32</w:t>
      </w:r>
      <w:r w:rsidR="008E6C0F">
        <w:rPr>
          <w:rFonts w:ascii="Calibri" w:hAnsi="Calibri" w:cs="ArialNarrow"/>
          <w:szCs w:val="22"/>
        </w:rPr>
        <w:t xml:space="preserve">, C – </w:t>
      </w:r>
      <w:r w:rsidR="00E06B0B">
        <w:rPr>
          <w:rFonts w:ascii="Calibri" w:hAnsi="Calibri" w:cs="ArialNarrow"/>
          <w:szCs w:val="22"/>
        </w:rPr>
        <w:t>25, D – 23</w:t>
      </w:r>
      <w:r w:rsidR="00511E80">
        <w:rPr>
          <w:rFonts w:ascii="Calibri" w:hAnsi="Calibri" w:cs="ArialNarrow"/>
          <w:szCs w:val="22"/>
        </w:rPr>
        <w:t xml:space="preserve"> </w:t>
      </w:r>
      <w:r w:rsidR="00006395">
        <w:rPr>
          <w:rFonts w:ascii="Calibri" w:hAnsi="Calibri" w:cs="ArialNarrow"/>
          <w:szCs w:val="22"/>
        </w:rPr>
        <w:t>and E</w:t>
      </w:r>
      <w:r w:rsidR="00BA5693">
        <w:rPr>
          <w:rFonts w:ascii="Calibri" w:hAnsi="Calibri" w:cs="ArialNarrow"/>
          <w:szCs w:val="22"/>
        </w:rPr>
        <w:t xml:space="preserve"> –</w:t>
      </w:r>
      <w:r w:rsidR="00E06B0B">
        <w:rPr>
          <w:rFonts w:ascii="Calibri" w:hAnsi="Calibri" w:cs="ArialNarrow"/>
          <w:szCs w:val="22"/>
        </w:rPr>
        <w:t xml:space="preserve"> 50</w:t>
      </w:r>
      <w:r w:rsidR="00006395">
        <w:rPr>
          <w:rFonts w:ascii="Calibri" w:hAnsi="Calibri" w:cs="ArialNarrow"/>
          <w:szCs w:val="22"/>
        </w:rPr>
        <w:t>.</w:t>
      </w:r>
      <w:r w:rsidR="00AC3FFF">
        <w:rPr>
          <w:rFonts w:ascii="Calibri" w:hAnsi="Calibri" w:cs="ArialNarrow"/>
          <w:szCs w:val="22"/>
        </w:rPr>
        <w:t xml:space="preserve">  </w:t>
      </w:r>
    </w:p>
    <w:p w:rsidR="004F5DBC" w:rsidRDefault="004F5DBC" w:rsidP="007C02F8">
      <w:pPr>
        <w:rPr>
          <w:rFonts w:ascii="Calibri" w:hAnsi="Calibri" w:cs="ArialNarrow"/>
          <w:szCs w:val="22"/>
        </w:rPr>
      </w:pPr>
    </w:p>
    <w:p w:rsidR="00714CCA" w:rsidRDefault="00E06B0B" w:rsidP="00C60FD7">
      <w:pPr>
        <w:pStyle w:val="ListParagraph"/>
        <w:numPr>
          <w:ilvl w:val="0"/>
          <w:numId w:val="7"/>
        </w:numPr>
        <w:rPr>
          <w:rFonts w:ascii="Calibri" w:hAnsi="Calibri" w:cs="ArialNarrow"/>
          <w:szCs w:val="22"/>
        </w:rPr>
      </w:pPr>
      <w:r>
        <w:rPr>
          <w:rFonts w:ascii="Calibri" w:hAnsi="Calibri" w:cs="ArialNarrow"/>
          <w:szCs w:val="22"/>
        </w:rPr>
        <w:t>Of the 162</w:t>
      </w:r>
      <w:r w:rsidR="00947E0D" w:rsidRPr="00714CCA">
        <w:rPr>
          <w:rFonts w:ascii="Calibri" w:hAnsi="Calibri" w:cs="ArialNarrow"/>
          <w:szCs w:val="22"/>
        </w:rPr>
        <w:t xml:space="preserve"> incidents </w:t>
      </w:r>
      <w:r w:rsidR="00E4653B">
        <w:rPr>
          <w:rFonts w:ascii="Calibri" w:hAnsi="Calibri" w:cs="ArialNarrow"/>
          <w:szCs w:val="22"/>
        </w:rPr>
        <w:t>19.7</w:t>
      </w:r>
      <w:r w:rsidR="00947E0D" w:rsidRPr="00714CCA">
        <w:rPr>
          <w:rFonts w:ascii="Calibri" w:hAnsi="Calibri" w:cs="ArialNarrow"/>
          <w:szCs w:val="22"/>
        </w:rPr>
        <w:t xml:space="preserve">% were </w:t>
      </w:r>
      <w:r w:rsidR="00714CCA" w:rsidRPr="00714CCA">
        <w:rPr>
          <w:rFonts w:ascii="Calibri" w:hAnsi="Calibri" w:cs="ArialNarrow"/>
          <w:szCs w:val="22"/>
        </w:rPr>
        <w:t xml:space="preserve">classified as </w:t>
      </w:r>
      <w:r w:rsidR="00B83C00" w:rsidRPr="00714CCA">
        <w:rPr>
          <w:rFonts w:ascii="Calibri" w:hAnsi="Calibri" w:cs="ArialNarrow"/>
          <w:szCs w:val="22"/>
        </w:rPr>
        <w:t>other</w:t>
      </w:r>
      <w:r w:rsidR="00714CCA">
        <w:rPr>
          <w:rFonts w:ascii="Calibri" w:hAnsi="Calibri" w:cs="ArialNarrow"/>
          <w:szCs w:val="22"/>
        </w:rPr>
        <w:t>.</w:t>
      </w:r>
    </w:p>
    <w:p w:rsidR="00987258" w:rsidRPr="00714CCA" w:rsidRDefault="00E4653B" w:rsidP="00C60FD7">
      <w:pPr>
        <w:pStyle w:val="ListParagraph"/>
        <w:numPr>
          <w:ilvl w:val="0"/>
          <w:numId w:val="7"/>
        </w:numPr>
        <w:rPr>
          <w:rFonts w:ascii="Calibri" w:hAnsi="Calibri" w:cs="ArialNarrow"/>
          <w:szCs w:val="22"/>
        </w:rPr>
      </w:pPr>
      <w:r>
        <w:rPr>
          <w:rFonts w:ascii="Calibri" w:hAnsi="Calibri" w:cs="ArialNarrow"/>
          <w:szCs w:val="22"/>
        </w:rPr>
        <w:t>14</w:t>
      </w:r>
      <w:r w:rsidR="00947E0D" w:rsidRPr="00714CCA">
        <w:rPr>
          <w:rFonts w:ascii="Calibri" w:hAnsi="Calibri" w:cs="ArialNarrow"/>
          <w:szCs w:val="22"/>
        </w:rPr>
        <w:t xml:space="preserve"> </w:t>
      </w:r>
      <w:r w:rsidR="00987258" w:rsidRPr="00714CCA">
        <w:rPr>
          <w:rFonts w:ascii="Calibri" w:hAnsi="Calibri" w:cs="ArialNarrow"/>
          <w:szCs w:val="22"/>
        </w:rPr>
        <w:t xml:space="preserve">residents had </w:t>
      </w:r>
      <w:r w:rsidR="00B83C00" w:rsidRPr="00714CCA">
        <w:rPr>
          <w:rFonts w:ascii="Calibri" w:hAnsi="Calibri" w:cs="ArialNarrow"/>
          <w:szCs w:val="22"/>
        </w:rPr>
        <w:t>3</w:t>
      </w:r>
      <w:r w:rsidR="00947E0D" w:rsidRPr="00714CCA">
        <w:rPr>
          <w:rFonts w:ascii="Calibri" w:hAnsi="Calibri" w:cs="ArialNarrow"/>
          <w:szCs w:val="22"/>
        </w:rPr>
        <w:t xml:space="preserve"> or more </w:t>
      </w:r>
      <w:r w:rsidR="00987258" w:rsidRPr="00714CCA">
        <w:rPr>
          <w:rFonts w:ascii="Calibri" w:hAnsi="Calibri" w:cs="ArialNarrow"/>
          <w:szCs w:val="22"/>
        </w:rPr>
        <w:t xml:space="preserve">incidents </w:t>
      </w:r>
      <w:r w:rsidR="00511E80" w:rsidRPr="00714CCA">
        <w:rPr>
          <w:rFonts w:ascii="Calibri" w:hAnsi="Calibri" w:cs="ArialNarrow"/>
          <w:szCs w:val="22"/>
        </w:rPr>
        <w:t>th</w:t>
      </w:r>
      <w:r w:rsidR="004175E1" w:rsidRPr="00714CCA">
        <w:rPr>
          <w:rFonts w:ascii="Calibri" w:hAnsi="Calibri" w:cs="ArialNarrow"/>
          <w:szCs w:val="22"/>
        </w:rPr>
        <w:t>is quarter</w:t>
      </w:r>
      <w:r w:rsidR="009B019B" w:rsidRPr="00714CCA">
        <w:rPr>
          <w:rFonts w:ascii="Calibri" w:hAnsi="Calibri" w:cs="ArialNarrow"/>
          <w:szCs w:val="22"/>
        </w:rPr>
        <w:t xml:space="preserve"> (excluding med occurrences)</w:t>
      </w:r>
      <w:r w:rsidR="00B83C00" w:rsidRPr="00714CCA">
        <w:rPr>
          <w:rFonts w:ascii="Calibri" w:hAnsi="Calibri" w:cs="ArialNarrow"/>
          <w:szCs w:val="22"/>
        </w:rPr>
        <w:t xml:space="preserve"> an</w:t>
      </w:r>
      <w:r>
        <w:rPr>
          <w:rFonts w:ascii="Calibri" w:hAnsi="Calibri" w:cs="ArialNarrow"/>
          <w:szCs w:val="22"/>
        </w:rPr>
        <w:t>d accounted for 37 incidents (75</w:t>
      </w:r>
      <w:r w:rsidR="00947E0D" w:rsidRPr="00714CCA">
        <w:rPr>
          <w:rFonts w:ascii="Calibri" w:hAnsi="Calibri" w:cs="ArialNarrow"/>
          <w:szCs w:val="22"/>
        </w:rPr>
        <w:t>%).</w:t>
      </w:r>
      <w:r>
        <w:rPr>
          <w:rFonts w:ascii="Calibri" w:hAnsi="Calibri" w:cs="ArialNarrow"/>
          <w:szCs w:val="22"/>
        </w:rPr>
        <w:t xml:space="preserve"> 1 resident had 17 incidents and 1 resident had 15 incidents, another had 12, 11, and 10, 9, 8, and 6 respectively. 3 residents had 4 incidents each and 3 residents had 3 incidents each. </w:t>
      </w:r>
      <w:r w:rsidR="00B83C00" w:rsidRPr="00714CCA">
        <w:rPr>
          <w:rFonts w:ascii="Calibri" w:hAnsi="Calibri" w:cs="ArialNarrow"/>
          <w:szCs w:val="22"/>
        </w:rPr>
        <w:t xml:space="preserve"> </w:t>
      </w:r>
    </w:p>
    <w:p w:rsidR="00714CCA" w:rsidRDefault="00714CCA" w:rsidP="00714CCA">
      <w:pPr>
        <w:rPr>
          <w:rFonts w:ascii="Calibri" w:hAnsi="Calibri" w:cs="ArialNarrow"/>
          <w:szCs w:val="22"/>
        </w:rPr>
      </w:pPr>
    </w:p>
    <w:p w:rsidR="00714CCA" w:rsidRDefault="00714CCA" w:rsidP="00714CCA">
      <w:pPr>
        <w:rPr>
          <w:rFonts w:ascii="Calibri" w:hAnsi="Calibri" w:cs="ArialNarrow"/>
          <w:szCs w:val="22"/>
        </w:rPr>
      </w:pPr>
    </w:p>
    <w:p w:rsidR="007C02F8" w:rsidRDefault="007C02F8" w:rsidP="007C02F8">
      <w:pPr>
        <w:rPr>
          <w:rFonts w:ascii="Calibri" w:hAnsi="Calibri" w:cs="ArialNarrow"/>
          <w:b/>
          <w:szCs w:val="22"/>
        </w:rPr>
      </w:pPr>
      <w:r w:rsidRPr="009400B4">
        <w:rPr>
          <w:rFonts w:ascii="Calibri" w:hAnsi="Calibri" w:cs="ArialNarrow"/>
          <w:b/>
          <w:szCs w:val="22"/>
        </w:rPr>
        <w:t>Responsive Behav</w:t>
      </w:r>
      <w:r w:rsidR="0094473E">
        <w:rPr>
          <w:rFonts w:ascii="Calibri" w:hAnsi="Calibri" w:cs="ArialNarrow"/>
          <w:b/>
          <w:szCs w:val="22"/>
        </w:rPr>
        <w:t>io</w:t>
      </w:r>
      <w:r w:rsidRPr="009400B4">
        <w:rPr>
          <w:rFonts w:ascii="Calibri" w:hAnsi="Calibri" w:cs="ArialNarrow"/>
          <w:b/>
          <w:szCs w:val="22"/>
        </w:rPr>
        <w:t>rs</w:t>
      </w:r>
      <w:r w:rsidR="00D14085">
        <w:rPr>
          <w:rFonts w:ascii="Calibri" w:hAnsi="Calibri" w:cs="ArialNarrow"/>
          <w:b/>
          <w:szCs w:val="22"/>
        </w:rPr>
        <w:t xml:space="preserve"> </w:t>
      </w:r>
    </w:p>
    <w:p w:rsidR="00B336A1" w:rsidRPr="00D14085" w:rsidRDefault="00B336A1" w:rsidP="007C02F8">
      <w:pPr>
        <w:rPr>
          <w:rFonts w:ascii="Calibri" w:hAnsi="Calibri" w:cs="ArialNarrow"/>
          <w:b/>
          <w:i/>
          <w:szCs w:val="22"/>
          <w:u w:val="single"/>
        </w:rPr>
      </w:pPr>
    </w:p>
    <w:p w:rsidR="006C58F8" w:rsidRDefault="007C02F8" w:rsidP="006C58F8">
      <w:pPr>
        <w:rPr>
          <w:rFonts w:ascii="Calibri" w:hAnsi="Calibri" w:cs="ArialNarrow"/>
          <w:szCs w:val="22"/>
        </w:rPr>
      </w:pPr>
      <w:r w:rsidRPr="009400B4">
        <w:rPr>
          <w:rFonts w:ascii="Calibri" w:hAnsi="Calibri" w:cs="ArialNarrow"/>
          <w:szCs w:val="22"/>
        </w:rPr>
        <w:t xml:space="preserve">Of the </w:t>
      </w:r>
      <w:r w:rsidR="00921E0C">
        <w:rPr>
          <w:rFonts w:ascii="Calibri" w:hAnsi="Calibri" w:cs="ArialNarrow"/>
          <w:szCs w:val="22"/>
        </w:rPr>
        <w:t>55</w:t>
      </w:r>
      <w:r w:rsidR="00ED0395">
        <w:rPr>
          <w:rFonts w:ascii="Calibri" w:hAnsi="Calibri" w:cs="ArialNarrow"/>
          <w:szCs w:val="22"/>
        </w:rPr>
        <w:t xml:space="preserve"> </w:t>
      </w:r>
      <w:r w:rsidRPr="009400B4">
        <w:rPr>
          <w:rFonts w:ascii="Calibri" w:hAnsi="Calibri" w:cs="ArialNarrow"/>
          <w:szCs w:val="22"/>
        </w:rPr>
        <w:t>incidents,</w:t>
      </w:r>
      <w:r w:rsidR="00791873">
        <w:rPr>
          <w:rFonts w:ascii="Calibri" w:hAnsi="Calibri" w:cs="ArialNarrow"/>
          <w:szCs w:val="22"/>
        </w:rPr>
        <w:t xml:space="preserve"> </w:t>
      </w:r>
      <w:r w:rsidR="00B83C00">
        <w:rPr>
          <w:rFonts w:ascii="Calibri" w:hAnsi="Calibri" w:cs="ArialNarrow"/>
          <w:szCs w:val="22"/>
        </w:rPr>
        <w:t>4</w:t>
      </w:r>
      <w:r w:rsidR="00D14085">
        <w:rPr>
          <w:rFonts w:ascii="Calibri" w:hAnsi="Calibri" w:cs="ArialNarrow"/>
          <w:szCs w:val="22"/>
        </w:rPr>
        <w:t xml:space="preserve"> resident</w:t>
      </w:r>
      <w:r w:rsidR="009B019B">
        <w:rPr>
          <w:rFonts w:ascii="Calibri" w:hAnsi="Calibri" w:cs="ArialNarrow"/>
          <w:szCs w:val="22"/>
        </w:rPr>
        <w:t>s</w:t>
      </w:r>
      <w:r w:rsidR="00D14085">
        <w:rPr>
          <w:rFonts w:ascii="Calibri" w:hAnsi="Calibri" w:cs="ArialNarrow"/>
          <w:szCs w:val="22"/>
        </w:rPr>
        <w:t xml:space="preserve"> </w:t>
      </w:r>
      <w:r w:rsidRPr="009400B4">
        <w:rPr>
          <w:rFonts w:ascii="Calibri" w:hAnsi="Calibri" w:cs="ArialNarrow"/>
          <w:szCs w:val="22"/>
        </w:rPr>
        <w:t>account</w:t>
      </w:r>
      <w:r w:rsidR="009834D6">
        <w:rPr>
          <w:rFonts w:ascii="Calibri" w:hAnsi="Calibri" w:cs="ArialNarrow"/>
          <w:szCs w:val="22"/>
        </w:rPr>
        <w:t>ed</w:t>
      </w:r>
      <w:r w:rsidRPr="009400B4">
        <w:rPr>
          <w:rFonts w:ascii="Calibri" w:hAnsi="Calibri" w:cs="ArialNarrow"/>
          <w:szCs w:val="22"/>
        </w:rPr>
        <w:t xml:space="preserve"> for </w:t>
      </w:r>
      <w:r w:rsidR="00921E0C">
        <w:rPr>
          <w:rFonts w:ascii="Calibri" w:hAnsi="Calibri" w:cs="ArialNarrow"/>
          <w:szCs w:val="22"/>
        </w:rPr>
        <w:t>63</w:t>
      </w:r>
      <w:r w:rsidR="00735F15">
        <w:rPr>
          <w:rFonts w:ascii="Calibri" w:hAnsi="Calibri" w:cs="ArialNarrow"/>
          <w:szCs w:val="22"/>
        </w:rPr>
        <w:t>%</w:t>
      </w:r>
      <w:r w:rsidR="00B604E4">
        <w:rPr>
          <w:rFonts w:ascii="Calibri" w:hAnsi="Calibri" w:cs="ArialNarrow"/>
          <w:szCs w:val="22"/>
        </w:rPr>
        <w:t xml:space="preserve"> of the incidents</w:t>
      </w:r>
      <w:r w:rsidR="009834D6">
        <w:rPr>
          <w:rFonts w:ascii="Calibri" w:hAnsi="Calibri" w:cs="ArialNarrow"/>
          <w:szCs w:val="22"/>
        </w:rPr>
        <w:t>.</w:t>
      </w:r>
      <w:r w:rsidR="00921E0C">
        <w:rPr>
          <w:rFonts w:ascii="Calibri" w:hAnsi="Calibri" w:cs="ArialNarrow"/>
          <w:szCs w:val="22"/>
        </w:rPr>
        <w:t xml:space="preserve"> 1 resident had 15 incidents and 2</w:t>
      </w:r>
      <w:r w:rsidR="009B019B">
        <w:rPr>
          <w:rFonts w:ascii="Calibri" w:hAnsi="Calibri" w:cs="ArialNarrow"/>
          <w:szCs w:val="22"/>
        </w:rPr>
        <w:t xml:space="preserve"> resident</w:t>
      </w:r>
      <w:r w:rsidR="00921E0C">
        <w:rPr>
          <w:rFonts w:ascii="Calibri" w:hAnsi="Calibri" w:cs="ArialNarrow"/>
          <w:szCs w:val="22"/>
        </w:rPr>
        <w:t>s</w:t>
      </w:r>
      <w:r w:rsidR="00B83C00">
        <w:rPr>
          <w:rFonts w:ascii="Calibri" w:hAnsi="Calibri" w:cs="ArialNarrow"/>
          <w:szCs w:val="22"/>
        </w:rPr>
        <w:t xml:space="preserve"> had </w:t>
      </w:r>
      <w:r w:rsidR="00921E0C">
        <w:rPr>
          <w:rFonts w:ascii="Calibri" w:hAnsi="Calibri" w:cs="ArialNarrow"/>
          <w:szCs w:val="22"/>
        </w:rPr>
        <w:t>7 incidents each and 1 resident had 6 incident</w:t>
      </w:r>
      <w:r w:rsidR="009B019B">
        <w:rPr>
          <w:rFonts w:ascii="Calibri" w:hAnsi="Calibri" w:cs="ArialNarrow"/>
          <w:szCs w:val="22"/>
        </w:rPr>
        <w:t>.</w:t>
      </w:r>
      <w:r w:rsidR="009834D6">
        <w:rPr>
          <w:rFonts w:ascii="Calibri" w:hAnsi="Calibri" w:cs="ArialNarrow"/>
          <w:szCs w:val="22"/>
        </w:rPr>
        <w:t xml:space="preserve"> </w:t>
      </w:r>
      <w:r w:rsidR="006C58F8">
        <w:rPr>
          <w:rFonts w:ascii="Calibri" w:hAnsi="Calibri" w:cs="ArialNarrow"/>
          <w:szCs w:val="22"/>
        </w:rPr>
        <w:t xml:space="preserve"> The number of incident</w:t>
      </w:r>
      <w:r w:rsidR="00D14085">
        <w:rPr>
          <w:rFonts w:ascii="Calibri" w:hAnsi="Calibri" w:cs="ArialNarrow"/>
          <w:szCs w:val="22"/>
        </w:rPr>
        <w:t>s per wing: A –</w:t>
      </w:r>
      <w:r w:rsidR="00921E0C">
        <w:rPr>
          <w:rFonts w:ascii="Calibri" w:hAnsi="Calibri" w:cs="ArialNarrow"/>
          <w:szCs w:val="22"/>
        </w:rPr>
        <w:t>4</w:t>
      </w:r>
      <w:r w:rsidR="00F309AC">
        <w:rPr>
          <w:rFonts w:ascii="Calibri" w:hAnsi="Calibri" w:cs="ArialNarrow"/>
          <w:szCs w:val="22"/>
        </w:rPr>
        <w:t>, B –</w:t>
      </w:r>
      <w:r w:rsidR="00921E0C">
        <w:rPr>
          <w:rFonts w:ascii="Calibri" w:hAnsi="Calibri" w:cs="ArialNarrow"/>
          <w:szCs w:val="22"/>
        </w:rPr>
        <w:t>13</w:t>
      </w:r>
      <w:r w:rsidR="00B604E4">
        <w:rPr>
          <w:rFonts w:ascii="Calibri" w:hAnsi="Calibri" w:cs="ArialNarrow"/>
          <w:szCs w:val="22"/>
        </w:rPr>
        <w:t>, C –</w:t>
      </w:r>
      <w:r w:rsidR="00921E0C">
        <w:rPr>
          <w:rFonts w:ascii="Calibri" w:hAnsi="Calibri" w:cs="ArialNarrow"/>
          <w:szCs w:val="22"/>
        </w:rPr>
        <w:t>7</w:t>
      </w:r>
      <w:r w:rsidR="00D14085">
        <w:rPr>
          <w:rFonts w:ascii="Calibri" w:hAnsi="Calibri" w:cs="ArialNarrow"/>
          <w:szCs w:val="22"/>
        </w:rPr>
        <w:t>, D –</w:t>
      </w:r>
      <w:r w:rsidR="00B83C00">
        <w:rPr>
          <w:rFonts w:ascii="Calibri" w:hAnsi="Calibri" w:cs="ArialNarrow"/>
          <w:szCs w:val="22"/>
        </w:rPr>
        <w:t>0</w:t>
      </w:r>
      <w:r w:rsidR="00D14085">
        <w:rPr>
          <w:rFonts w:ascii="Calibri" w:hAnsi="Calibri" w:cs="ArialNarrow"/>
          <w:szCs w:val="22"/>
        </w:rPr>
        <w:t xml:space="preserve"> </w:t>
      </w:r>
      <w:r w:rsidR="006C58F8">
        <w:rPr>
          <w:rFonts w:ascii="Calibri" w:hAnsi="Calibri" w:cs="ArialNarrow"/>
          <w:szCs w:val="22"/>
        </w:rPr>
        <w:t xml:space="preserve">and E – </w:t>
      </w:r>
      <w:r w:rsidR="00921E0C">
        <w:rPr>
          <w:rFonts w:ascii="Calibri" w:hAnsi="Calibri" w:cs="ArialNarrow"/>
          <w:szCs w:val="22"/>
        </w:rPr>
        <w:t>31</w:t>
      </w:r>
      <w:r w:rsidR="00D14085">
        <w:rPr>
          <w:rFonts w:ascii="Calibri" w:hAnsi="Calibri" w:cs="ArialNarrow"/>
          <w:szCs w:val="22"/>
        </w:rPr>
        <w:t xml:space="preserve">.  </w:t>
      </w:r>
      <w:r w:rsidR="006C58F8">
        <w:rPr>
          <w:rFonts w:ascii="Calibri" w:hAnsi="Calibri" w:cs="ArialNarrow"/>
          <w:szCs w:val="22"/>
        </w:rPr>
        <w:t xml:space="preserve"> </w:t>
      </w:r>
    </w:p>
    <w:p w:rsidR="006C58F8" w:rsidRDefault="006C58F8" w:rsidP="007C02F8">
      <w:pPr>
        <w:rPr>
          <w:rFonts w:ascii="Calibri" w:hAnsi="Calibri" w:cs="ArialNarrow"/>
          <w:szCs w:val="22"/>
        </w:rPr>
      </w:pPr>
    </w:p>
    <w:p w:rsidR="007C02F8" w:rsidRDefault="00D14085" w:rsidP="007C02F8">
      <w:pPr>
        <w:rPr>
          <w:rFonts w:ascii="Calibri" w:hAnsi="Calibri" w:cs="ArialNarrow"/>
          <w:szCs w:val="22"/>
        </w:rPr>
      </w:pPr>
      <w:r>
        <w:rPr>
          <w:rFonts w:ascii="Calibri" w:hAnsi="Calibri" w:cs="ArialNarrow"/>
          <w:szCs w:val="22"/>
        </w:rPr>
        <w:t xml:space="preserve">There were </w:t>
      </w:r>
      <w:r w:rsidR="00B83C00">
        <w:rPr>
          <w:rFonts w:ascii="Calibri" w:hAnsi="Calibri" w:cs="ArialNarrow"/>
          <w:szCs w:val="22"/>
        </w:rPr>
        <w:t>3</w:t>
      </w:r>
      <w:r w:rsidR="00921E0C">
        <w:rPr>
          <w:rFonts w:ascii="Calibri" w:hAnsi="Calibri" w:cs="ArialNarrow"/>
          <w:szCs w:val="22"/>
        </w:rPr>
        <w:t>9</w:t>
      </w:r>
      <w:r w:rsidR="00B604E4">
        <w:rPr>
          <w:rFonts w:ascii="Calibri" w:hAnsi="Calibri" w:cs="ArialNarrow"/>
          <w:szCs w:val="22"/>
        </w:rPr>
        <w:t xml:space="preserve"> </w:t>
      </w:r>
      <w:r w:rsidR="009834D6">
        <w:rPr>
          <w:rFonts w:ascii="Calibri" w:hAnsi="Calibri" w:cs="ArialNarrow"/>
          <w:szCs w:val="22"/>
        </w:rPr>
        <w:t>e</w:t>
      </w:r>
      <w:r w:rsidR="00B604E4">
        <w:rPr>
          <w:rFonts w:ascii="Calibri" w:hAnsi="Calibri" w:cs="ArialNarrow"/>
          <w:szCs w:val="22"/>
        </w:rPr>
        <w:t>pis</w:t>
      </w:r>
      <w:r w:rsidR="00921E0C">
        <w:rPr>
          <w:rFonts w:ascii="Calibri" w:hAnsi="Calibri" w:cs="ArialNarrow"/>
          <w:szCs w:val="22"/>
        </w:rPr>
        <w:t>odes of physical aggression, 10</w:t>
      </w:r>
      <w:r w:rsidR="00B604E4">
        <w:rPr>
          <w:rFonts w:ascii="Calibri" w:hAnsi="Calibri" w:cs="ArialNarrow"/>
          <w:szCs w:val="22"/>
        </w:rPr>
        <w:t xml:space="preserve"> incidents of verbal aggression</w:t>
      </w:r>
      <w:r w:rsidR="00921E0C">
        <w:rPr>
          <w:rFonts w:ascii="Calibri" w:hAnsi="Calibri" w:cs="ArialNarrow"/>
          <w:szCs w:val="22"/>
        </w:rPr>
        <w:t>, and 5 incidents of sexual non-aggression and 1 incident of sexual aggression</w:t>
      </w:r>
      <w:r w:rsidR="00B604E4">
        <w:rPr>
          <w:rFonts w:ascii="Calibri" w:hAnsi="Calibri" w:cs="ArialNarrow"/>
          <w:szCs w:val="22"/>
        </w:rPr>
        <w:t xml:space="preserve">. </w:t>
      </w:r>
      <w:r w:rsidR="009B019B">
        <w:rPr>
          <w:rFonts w:ascii="Calibri" w:hAnsi="Calibri" w:cs="ArialNarrow"/>
          <w:szCs w:val="22"/>
        </w:rPr>
        <w:t>No</w:t>
      </w:r>
      <w:r w:rsidR="0028577C">
        <w:rPr>
          <w:rFonts w:ascii="Calibri" w:hAnsi="Calibri" w:cs="ArialNarrow"/>
          <w:szCs w:val="22"/>
        </w:rPr>
        <w:t xml:space="preserve"> </w:t>
      </w:r>
      <w:r w:rsidR="00791873">
        <w:rPr>
          <w:rFonts w:ascii="Calibri" w:hAnsi="Calibri" w:cs="ArialNarrow"/>
          <w:szCs w:val="22"/>
        </w:rPr>
        <w:t>incident</w:t>
      </w:r>
      <w:r w:rsidR="009B019B">
        <w:rPr>
          <w:rFonts w:ascii="Calibri" w:hAnsi="Calibri" w:cs="ArialNarrow"/>
          <w:szCs w:val="22"/>
        </w:rPr>
        <w:t>s resulted in an injury</w:t>
      </w:r>
      <w:r w:rsidR="0028577C">
        <w:rPr>
          <w:rFonts w:ascii="Calibri" w:hAnsi="Calibri" w:cs="ArialNarrow"/>
          <w:szCs w:val="22"/>
        </w:rPr>
        <w:t>.</w:t>
      </w:r>
    </w:p>
    <w:p w:rsidR="00483D2E" w:rsidRDefault="00483D2E" w:rsidP="007C02F8">
      <w:pPr>
        <w:rPr>
          <w:rFonts w:ascii="Calibri" w:hAnsi="Calibri" w:cs="ArialNarrow"/>
          <w:szCs w:val="22"/>
        </w:rPr>
      </w:pPr>
    </w:p>
    <w:p w:rsidR="00483D2E" w:rsidRDefault="00483D2E" w:rsidP="00483D2E">
      <w:pPr>
        <w:rPr>
          <w:rFonts w:ascii="Calibri" w:hAnsi="Calibri" w:cs="ArialNarrow"/>
          <w:szCs w:val="22"/>
        </w:rPr>
      </w:pPr>
      <w:r>
        <w:rPr>
          <w:rFonts w:ascii="Calibri" w:hAnsi="Calibri" w:cs="ArialNarrow"/>
          <w:szCs w:val="22"/>
        </w:rPr>
        <w:t>All Responsive Behaviour incidents continue to be reviewed by</w:t>
      </w:r>
      <w:r w:rsidR="00B83C00">
        <w:rPr>
          <w:rFonts w:ascii="Calibri" w:hAnsi="Calibri" w:cs="ArialNarrow"/>
          <w:szCs w:val="22"/>
        </w:rPr>
        <w:t xml:space="preserve"> the Responsive Behavior Team which includes the zone Behavior Resource Consultant. PIECES and GPA continue to be the foundation for our behavior support approach. </w:t>
      </w:r>
    </w:p>
    <w:p w:rsidR="00B83C00" w:rsidRDefault="00B83C00" w:rsidP="00483D2E">
      <w:pPr>
        <w:rPr>
          <w:rFonts w:ascii="Calibri" w:hAnsi="Calibri" w:cs="ArialNarrow"/>
          <w:szCs w:val="22"/>
        </w:rPr>
      </w:pPr>
    </w:p>
    <w:p w:rsidR="00483D2E" w:rsidRPr="009400B4" w:rsidRDefault="00483D2E" w:rsidP="007C02F8">
      <w:pPr>
        <w:rPr>
          <w:rFonts w:ascii="Calibri" w:hAnsi="Calibri" w:cs="ArialNarrow"/>
          <w:szCs w:val="22"/>
        </w:rPr>
      </w:pPr>
    </w:p>
    <w:p w:rsidR="007C02F8" w:rsidRDefault="007C02F8" w:rsidP="007C02F8">
      <w:pPr>
        <w:rPr>
          <w:b/>
          <w:szCs w:val="22"/>
        </w:rPr>
      </w:pPr>
      <w:r>
        <w:rPr>
          <w:b/>
          <w:szCs w:val="22"/>
        </w:rPr>
        <w:t>Falls</w:t>
      </w:r>
      <w:r w:rsidR="00BF0B2B">
        <w:rPr>
          <w:b/>
          <w:szCs w:val="22"/>
        </w:rPr>
        <w:t xml:space="preserve"> </w:t>
      </w:r>
    </w:p>
    <w:p w:rsidR="00791873" w:rsidRPr="009400B4" w:rsidRDefault="00791873" w:rsidP="007C02F8">
      <w:pPr>
        <w:rPr>
          <w:b/>
          <w:szCs w:val="22"/>
        </w:rPr>
      </w:pPr>
    </w:p>
    <w:p w:rsidR="005F22C7" w:rsidRDefault="007C02F8" w:rsidP="00483D2E">
      <w:pPr>
        <w:rPr>
          <w:szCs w:val="22"/>
        </w:rPr>
      </w:pPr>
      <w:r w:rsidRPr="009400B4">
        <w:rPr>
          <w:szCs w:val="22"/>
        </w:rPr>
        <w:t>The number of falls</w:t>
      </w:r>
      <w:r w:rsidR="003C133E">
        <w:rPr>
          <w:szCs w:val="22"/>
        </w:rPr>
        <w:t xml:space="preserve"> </w:t>
      </w:r>
      <w:r w:rsidR="00B83C00">
        <w:rPr>
          <w:szCs w:val="22"/>
        </w:rPr>
        <w:t>have increased</w:t>
      </w:r>
      <w:r w:rsidR="009B019B">
        <w:rPr>
          <w:szCs w:val="22"/>
        </w:rPr>
        <w:t xml:space="preserve"> since </w:t>
      </w:r>
      <w:r w:rsidR="00483D2E">
        <w:rPr>
          <w:szCs w:val="22"/>
        </w:rPr>
        <w:t>last quarter</w:t>
      </w:r>
      <w:r w:rsidR="00E249B6">
        <w:rPr>
          <w:szCs w:val="22"/>
        </w:rPr>
        <w:t xml:space="preserve"> (</w:t>
      </w:r>
      <w:r w:rsidR="00E06B0B">
        <w:rPr>
          <w:szCs w:val="22"/>
        </w:rPr>
        <w:t>34 f</w:t>
      </w:r>
      <w:r w:rsidR="003C133E">
        <w:rPr>
          <w:szCs w:val="22"/>
        </w:rPr>
        <w:t>alls)</w:t>
      </w:r>
      <w:r w:rsidR="00E249B6">
        <w:rPr>
          <w:szCs w:val="22"/>
        </w:rPr>
        <w:t xml:space="preserve"> and</w:t>
      </w:r>
      <w:r w:rsidR="00E06B0B">
        <w:rPr>
          <w:szCs w:val="22"/>
        </w:rPr>
        <w:t xml:space="preserve"> increased </w:t>
      </w:r>
      <w:r w:rsidR="0028577C">
        <w:rPr>
          <w:szCs w:val="22"/>
        </w:rPr>
        <w:t xml:space="preserve">from the </w:t>
      </w:r>
      <w:r w:rsidR="00483D2E">
        <w:rPr>
          <w:szCs w:val="22"/>
        </w:rPr>
        <w:t>same quarter of last year</w:t>
      </w:r>
      <w:r w:rsidR="00E06B0B">
        <w:rPr>
          <w:szCs w:val="22"/>
        </w:rPr>
        <w:t xml:space="preserve"> (47</w:t>
      </w:r>
      <w:r w:rsidR="004623DC">
        <w:rPr>
          <w:szCs w:val="22"/>
        </w:rPr>
        <w:t xml:space="preserve"> </w:t>
      </w:r>
      <w:r w:rsidR="003C133E">
        <w:rPr>
          <w:szCs w:val="22"/>
        </w:rPr>
        <w:t>falls)</w:t>
      </w:r>
      <w:r w:rsidR="00483D2E">
        <w:rPr>
          <w:szCs w:val="22"/>
        </w:rPr>
        <w:t>.</w:t>
      </w:r>
      <w:r w:rsidRPr="009400B4">
        <w:rPr>
          <w:szCs w:val="22"/>
        </w:rPr>
        <w:t xml:space="preserve"> </w:t>
      </w:r>
      <w:r w:rsidR="00E06B0B">
        <w:rPr>
          <w:szCs w:val="22"/>
        </w:rPr>
        <w:t xml:space="preserve">20 residents had 1 fall each and 22 residents had 2 or more falls. 5 residents </w:t>
      </w:r>
      <w:r w:rsidR="00E06B0B" w:rsidRPr="00BD0FF7">
        <w:rPr>
          <w:szCs w:val="22"/>
        </w:rPr>
        <w:t xml:space="preserve">accounted for </w:t>
      </w:r>
      <w:r w:rsidR="00E06B0B">
        <w:rPr>
          <w:szCs w:val="22"/>
        </w:rPr>
        <w:t>45% of all falls – each with 17, 15, 12, 11 and 10 falls respectively. These people have care plans which ackno</w:t>
      </w:r>
      <w:r w:rsidR="00E818D7">
        <w:rPr>
          <w:szCs w:val="22"/>
        </w:rPr>
        <w:t xml:space="preserve">wledge their risk for falls and balance their </w:t>
      </w:r>
      <w:r w:rsidR="00E06B0B">
        <w:rPr>
          <w:szCs w:val="22"/>
        </w:rPr>
        <w:t>right to live at risk.</w:t>
      </w:r>
    </w:p>
    <w:p w:rsidR="003A274E" w:rsidRDefault="003A274E" w:rsidP="003A274E">
      <w:pPr>
        <w:pStyle w:val="ListParagraph"/>
        <w:numPr>
          <w:ilvl w:val="0"/>
          <w:numId w:val="6"/>
        </w:numPr>
        <w:rPr>
          <w:szCs w:val="22"/>
        </w:rPr>
      </w:pPr>
      <w:r>
        <w:rPr>
          <w:szCs w:val="22"/>
        </w:rPr>
        <w:t xml:space="preserve">Of the </w:t>
      </w:r>
      <w:r w:rsidR="00E06B0B">
        <w:rPr>
          <w:szCs w:val="22"/>
        </w:rPr>
        <w:t>58</w:t>
      </w:r>
      <w:r w:rsidR="004623DC">
        <w:rPr>
          <w:szCs w:val="22"/>
        </w:rPr>
        <w:t xml:space="preserve"> </w:t>
      </w:r>
      <w:r>
        <w:rPr>
          <w:szCs w:val="22"/>
        </w:rPr>
        <w:t>falls</w:t>
      </w:r>
      <w:r w:rsidR="004623DC">
        <w:rPr>
          <w:szCs w:val="22"/>
        </w:rPr>
        <w:t>,</w:t>
      </w:r>
      <w:r>
        <w:rPr>
          <w:szCs w:val="22"/>
        </w:rPr>
        <w:t xml:space="preserve"> </w:t>
      </w:r>
      <w:r w:rsidR="00E06B0B">
        <w:rPr>
          <w:szCs w:val="22"/>
        </w:rPr>
        <w:t>6</w:t>
      </w:r>
      <w:r>
        <w:rPr>
          <w:szCs w:val="22"/>
        </w:rPr>
        <w:t xml:space="preserve"> were witnessed and </w:t>
      </w:r>
      <w:r w:rsidR="00E06B0B">
        <w:rPr>
          <w:szCs w:val="22"/>
        </w:rPr>
        <w:t>52</w:t>
      </w:r>
      <w:r>
        <w:rPr>
          <w:szCs w:val="22"/>
        </w:rPr>
        <w:t xml:space="preserve"> were unwitnessed. </w:t>
      </w:r>
    </w:p>
    <w:p w:rsidR="003A274E" w:rsidRDefault="00AC6FA2" w:rsidP="008D53F5">
      <w:pPr>
        <w:pStyle w:val="ListParagraph"/>
        <w:numPr>
          <w:ilvl w:val="0"/>
          <w:numId w:val="6"/>
        </w:numPr>
        <w:rPr>
          <w:szCs w:val="22"/>
        </w:rPr>
      </w:pPr>
      <w:r w:rsidRPr="006B64DB">
        <w:rPr>
          <w:szCs w:val="22"/>
        </w:rPr>
        <w:t>With the exception of 1 fall which resulted in a shoulder fracture, all f</w:t>
      </w:r>
      <w:r w:rsidR="00BF0B2B" w:rsidRPr="006B64DB">
        <w:rPr>
          <w:szCs w:val="22"/>
        </w:rPr>
        <w:t xml:space="preserve">alls resulted in </w:t>
      </w:r>
      <w:r w:rsidRPr="006B64DB">
        <w:rPr>
          <w:szCs w:val="22"/>
        </w:rPr>
        <w:t xml:space="preserve">no </w:t>
      </w:r>
      <w:r w:rsidR="006B64DB" w:rsidRPr="006B64DB">
        <w:rPr>
          <w:szCs w:val="22"/>
        </w:rPr>
        <w:t>injuries</w:t>
      </w:r>
      <w:r w:rsidRPr="006B64DB">
        <w:rPr>
          <w:szCs w:val="22"/>
        </w:rPr>
        <w:t xml:space="preserve"> or </w:t>
      </w:r>
      <w:r w:rsidR="003A274E" w:rsidRPr="006B64DB">
        <w:rPr>
          <w:szCs w:val="22"/>
        </w:rPr>
        <w:t>minor injuri</w:t>
      </w:r>
      <w:r w:rsidR="00936038" w:rsidRPr="006B64DB">
        <w:rPr>
          <w:szCs w:val="22"/>
        </w:rPr>
        <w:t>es from redness to minor laceration.</w:t>
      </w:r>
      <w:r w:rsidRPr="006B64DB">
        <w:rPr>
          <w:szCs w:val="22"/>
        </w:rPr>
        <w:t xml:space="preserve"> </w:t>
      </w:r>
    </w:p>
    <w:p w:rsidR="006B64DB" w:rsidRPr="006B64DB" w:rsidRDefault="006B64DB" w:rsidP="008D53F5">
      <w:pPr>
        <w:pStyle w:val="ListParagraph"/>
        <w:numPr>
          <w:ilvl w:val="0"/>
          <w:numId w:val="6"/>
        </w:numPr>
        <w:rPr>
          <w:szCs w:val="22"/>
        </w:rPr>
      </w:pPr>
    </w:p>
    <w:p w:rsidR="007C02F8" w:rsidRPr="003A274E" w:rsidRDefault="007C02F8" w:rsidP="003A274E">
      <w:pPr>
        <w:pStyle w:val="ListParagraph"/>
        <w:ind w:left="0"/>
        <w:rPr>
          <w:szCs w:val="22"/>
        </w:rPr>
      </w:pPr>
      <w:r w:rsidRPr="003A274E">
        <w:rPr>
          <w:szCs w:val="22"/>
        </w:rPr>
        <w:t xml:space="preserve">All incidents </w:t>
      </w:r>
      <w:r w:rsidR="005F22C7">
        <w:rPr>
          <w:szCs w:val="22"/>
        </w:rPr>
        <w:t xml:space="preserve">continue to be </w:t>
      </w:r>
      <w:r w:rsidRPr="003A274E">
        <w:rPr>
          <w:szCs w:val="22"/>
        </w:rPr>
        <w:t>reviewed on a regular basis by the Manager Resident Care</w:t>
      </w:r>
      <w:r w:rsidR="00E249B6">
        <w:rPr>
          <w:szCs w:val="22"/>
        </w:rPr>
        <w:t xml:space="preserve"> and the mobility team</w:t>
      </w:r>
      <w:r w:rsidRPr="003A274E">
        <w:rPr>
          <w:szCs w:val="22"/>
        </w:rPr>
        <w:t xml:space="preserve"> with prevention</w:t>
      </w:r>
      <w:r w:rsidR="003A274E">
        <w:rPr>
          <w:szCs w:val="22"/>
        </w:rPr>
        <w:t xml:space="preserve"> strategies</w:t>
      </w:r>
      <w:r w:rsidR="005F22C7">
        <w:rPr>
          <w:szCs w:val="22"/>
        </w:rPr>
        <w:t xml:space="preserve"> added to the resident care plans.</w:t>
      </w:r>
      <w:r w:rsidRPr="003A274E">
        <w:rPr>
          <w:szCs w:val="22"/>
        </w:rPr>
        <w:t xml:space="preserve">  </w:t>
      </w:r>
    </w:p>
    <w:p w:rsidR="007C02F8" w:rsidRPr="009400B4" w:rsidRDefault="007C02F8" w:rsidP="007C02F8">
      <w:pPr>
        <w:rPr>
          <w:szCs w:val="22"/>
        </w:rPr>
      </w:pPr>
    </w:p>
    <w:p w:rsidR="00015F41" w:rsidRDefault="007C02F8" w:rsidP="007C02F8">
      <w:pPr>
        <w:rPr>
          <w:b/>
          <w:szCs w:val="22"/>
        </w:rPr>
      </w:pPr>
      <w:r w:rsidRPr="009400B4">
        <w:rPr>
          <w:b/>
          <w:szCs w:val="22"/>
        </w:rPr>
        <w:t>Medication Errors</w:t>
      </w:r>
      <w:r w:rsidR="006033F1">
        <w:rPr>
          <w:b/>
          <w:szCs w:val="22"/>
        </w:rPr>
        <w:t xml:space="preserve"> </w:t>
      </w:r>
    </w:p>
    <w:p w:rsidR="0039478F" w:rsidRDefault="0039478F" w:rsidP="007C02F8">
      <w:pPr>
        <w:rPr>
          <w:b/>
          <w:szCs w:val="22"/>
        </w:rPr>
      </w:pPr>
    </w:p>
    <w:p w:rsidR="0039478F" w:rsidRDefault="0039478F" w:rsidP="00D40080">
      <w:pPr>
        <w:rPr>
          <w:szCs w:val="22"/>
        </w:rPr>
      </w:pPr>
      <w:r>
        <w:rPr>
          <w:szCs w:val="22"/>
        </w:rPr>
        <w:t>The annual number of medication incidences (75) has decreased significantly since last year (124).</w:t>
      </w:r>
    </w:p>
    <w:p w:rsidR="0039478F" w:rsidRDefault="0039478F" w:rsidP="00D40080">
      <w:pPr>
        <w:rPr>
          <w:szCs w:val="22"/>
        </w:rPr>
      </w:pPr>
    </w:p>
    <w:p w:rsidR="00C911BC" w:rsidRDefault="0039478F" w:rsidP="00D40080">
      <w:pPr>
        <w:rPr>
          <w:rFonts w:ascii="Calibri" w:hAnsi="Calibri" w:cs="ArialNarrow"/>
          <w:szCs w:val="22"/>
        </w:rPr>
      </w:pPr>
      <w:r>
        <w:rPr>
          <w:szCs w:val="22"/>
        </w:rPr>
        <w:t>This quarter t</w:t>
      </w:r>
      <w:r w:rsidR="00C911BC">
        <w:rPr>
          <w:szCs w:val="22"/>
        </w:rPr>
        <w:t>he number of m</w:t>
      </w:r>
      <w:r w:rsidR="007C02F8">
        <w:rPr>
          <w:szCs w:val="22"/>
        </w:rPr>
        <w:t>edication errors have</w:t>
      </w:r>
      <w:r w:rsidR="007C02F8" w:rsidRPr="009400B4">
        <w:rPr>
          <w:szCs w:val="22"/>
        </w:rPr>
        <w:t xml:space="preserve"> </w:t>
      </w:r>
      <w:r>
        <w:rPr>
          <w:szCs w:val="22"/>
        </w:rPr>
        <w:t>slightly increased from 12 to 18</w:t>
      </w:r>
      <w:r w:rsidR="00B83C00">
        <w:rPr>
          <w:szCs w:val="22"/>
        </w:rPr>
        <w:t xml:space="preserve"> and slightly</w:t>
      </w:r>
      <w:r>
        <w:rPr>
          <w:szCs w:val="22"/>
        </w:rPr>
        <w:t xml:space="preserve"> decreased</w:t>
      </w:r>
      <w:r w:rsidR="00B83C00">
        <w:rPr>
          <w:szCs w:val="22"/>
        </w:rPr>
        <w:t xml:space="preserve"> </w:t>
      </w:r>
      <w:r w:rsidR="00D40080">
        <w:rPr>
          <w:szCs w:val="22"/>
        </w:rPr>
        <w:t xml:space="preserve">when compared </w:t>
      </w:r>
      <w:r w:rsidR="00C911BC">
        <w:rPr>
          <w:szCs w:val="22"/>
        </w:rPr>
        <w:t xml:space="preserve">to </w:t>
      </w:r>
      <w:r w:rsidR="00B336A1">
        <w:rPr>
          <w:szCs w:val="22"/>
        </w:rPr>
        <w:t>the same period of last year</w:t>
      </w:r>
      <w:r>
        <w:rPr>
          <w:szCs w:val="22"/>
        </w:rPr>
        <w:t xml:space="preserve"> (21</w:t>
      </w:r>
      <w:r w:rsidR="00B83C00">
        <w:rPr>
          <w:szCs w:val="22"/>
        </w:rPr>
        <w:t>)</w:t>
      </w:r>
      <w:r w:rsidR="00B336A1">
        <w:rPr>
          <w:szCs w:val="22"/>
        </w:rPr>
        <w:t xml:space="preserve">. </w:t>
      </w:r>
      <w:r w:rsidR="00C911BC">
        <w:rPr>
          <w:rFonts w:ascii="Calibri" w:hAnsi="Calibri" w:cs="ArialNarrow"/>
          <w:szCs w:val="22"/>
        </w:rPr>
        <w:t>The number of incidents per wing: A –</w:t>
      </w:r>
      <w:r>
        <w:rPr>
          <w:rFonts w:ascii="Calibri" w:hAnsi="Calibri" w:cs="ArialNarrow"/>
          <w:szCs w:val="22"/>
        </w:rPr>
        <w:t>3</w:t>
      </w:r>
      <w:r w:rsidR="00C911BC">
        <w:rPr>
          <w:rFonts w:ascii="Calibri" w:hAnsi="Calibri" w:cs="ArialNarrow"/>
          <w:szCs w:val="22"/>
        </w:rPr>
        <w:t xml:space="preserve">, B – </w:t>
      </w:r>
      <w:r>
        <w:rPr>
          <w:rFonts w:ascii="Calibri" w:hAnsi="Calibri" w:cs="ArialNarrow"/>
          <w:szCs w:val="22"/>
        </w:rPr>
        <w:t>7</w:t>
      </w:r>
      <w:r w:rsidR="00C911BC">
        <w:rPr>
          <w:rFonts w:ascii="Calibri" w:hAnsi="Calibri" w:cs="ArialNarrow"/>
          <w:szCs w:val="22"/>
        </w:rPr>
        <w:t xml:space="preserve">, C – </w:t>
      </w:r>
      <w:r>
        <w:rPr>
          <w:rFonts w:ascii="Calibri" w:hAnsi="Calibri" w:cs="ArialNarrow"/>
          <w:szCs w:val="22"/>
        </w:rPr>
        <w:t>1</w:t>
      </w:r>
      <w:r w:rsidR="00C911BC">
        <w:rPr>
          <w:rFonts w:ascii="Calibri" w:hAnsi="Calibri" w:cs="ArialNarrow"/>
          <w:szCs w:val="22"/>
        </w:rPr>
        <w:t xml:space="preserve">, D – </w:t>
      </w:r>
      <w:r>
        <w:rPr>
          <w:rFonts w:ascii="Calibri" w:hAnsi="Calibri" w:cs="ArialNarrow"/>
          <w:szCs w:val="22"/>
        </w:rPr>
        <w:t>2</w:t>
      </w:r>
      <w:r w:rsidR="00C911BC">
        <w:rPr>
          <w:rFonts w:ascii="Calibri" w:hAnsi="Calibri" w:cs="ArialNarrow"/>
          <w:szCs w:val="22"/>
        </w:rPr>
        <w:t xml:space="preserve"> and E – </w:t>
      </w:r>
      <w:r>
        <w:rPr>
          <w:rFonts w:ascii="Calibri" w:hAnsi="Calibri" w:cs="ArialNarrow"/>
          <w:szCs w:val="22"/>
        </w:rPr>
        <w:t xml:space="preserve">4 and there was 1 </w:t>
      </w:r>
      <w:r>
        <w:rPr>
          <w:rFonts w:ascii="Calibri" w:hAnsi="Calibri" w:cs="ArialNarrow"/>
          <w:i/>
          <w:szCs w:val="22"/>
        </w:rPr>
        <w:t xml:space="preserve">other. </w:t>
      </w:r>
    </w:p>
    <w:p w:rsidR="00D40080" w:rsidRDefault="00D40080" w:rsidP="00D40080">
      <w:pPr>
        <w:rPr>
          <w:rFonts w:ascii="Calibri" w:hAnsi="Calibri" w:cs="ArialNarrow"/>
          <w:szCs w:val="22"/>
        </w:rPr>
      </w:pPr>
    </w:p>
    <w:p w:rsidR="00D40080" w:rsidRPr="00936038" w:rsidRDefault="00B83C00" w:rsidP="007C02F8">
      <w:pPr>
        <w:rPr>
          <w:szCs w:val="22"/>
        </w:rPr>
      </w:pPr>
      <w:r w:rsidRPr="00B83C00">
        <w:rPr>
          <w:i/>
          <w:szCs w:val="22"/>
        </w:rPr>
        <w:t>Missed doses</w:t>
      </w:r>
      <w:r>
        <w:rPr>
          <w:szCs w:val="22"/>
        </w:rPr>
        <w:t xml:space="preserve"> accounted for </w:t>
      </w:r>
      <w:r w:rsidR="0039478F">
        <w:rPr>
          <w:szCs w:val="22"/>
        </w:rPr>
        <w:t xml:space="preserve">55% </w:t>
      </w:r>
      <w:r>
        <w:rPr>
          <w:szCs w:val="22"/>
        </w:rPr>
        <w:t>(</w:t>
      </w:r>
      <w:r w:rsidR="0039478F">
        <w:rPr>
          <w:szCs w:val="22"/>
        </w:rPr>
        <w:t>10</w:t>
      </w:r>
      <w:r>
        <w:rPr>
          <w:szCs w:val="22"/>
        </w:rPr>
        <w:t>)</w:t>
      </w:r>
      <w:r w:rsidR="00D40080">
        <w:rPr>
          <w:szCs w:val="22"/>
        </w:rPr>
        <w:t xml:space="preserve"> </w:t>
      </w:r>
      <w:r>
        <w:rPr>
          <w:szCs w:val="22"/>
        </w:rPr>
        <w:t>of the med error</w:t>
      </w:r>
      <w:r w:rsidR="004175E1">
        <w:rPr>
          <w:szCs w:val="22"/>
        </w:rPr>
        <w:t>s</w:t>
      </w:r>
      <w:r>
        <w:rPr>
          <w:szCs w:val="22"/>
        </w:rPr>
        <w:t xml:space="preserve">. </w:t>
      </w:r>
      <w:r>
        <w:rPr>
          <w:i/>
          <w:szCs w:val="22"/>
        </w:rPr>
        <w:t>Patches</w:t>
      </w:r>
      <w:r w:rsidR="00D40080" w:rsidRPr="00936038">
        <w:rPr>
          <w:szCs w:val="22"/>
        </w:rPr>
        <w:t xml:space="preserve"> </w:t>
      </w:r>
      <w:r>
        <w:rPr>
          <w:szCs w:val="22"/>
        </w:rPr>
        <w:t xml:space="preserve">(not being removed) accounted for </w:t>
      </w:r>
      <w:r w:rsidR="0039478F">
        <w:rPr>
          <w:szCs w:val="22"/>
        </w:rPr>
        <w:t xml:space="preserve">0% of errors which is an improvement from last quarter which saw </w:t>
      </w:r>
      <w:r>
        <w:rPr>
          <w:szCs w:val="22"/>
        </w:rPr>
        <w:t xml:space="preserve">19% </w:t>
      </w:r>
      <w:r w:rsidR="0039478F">
        <w:rPr>
          <w:szCs w:val="22"/>
        </w:rPr>
        <w:t xml:space="preserve">of errors related to failure to remove patches. </w:t>
      </w:r>
      <w:r>
        <w:rPr>
          <w:szCs w:val="22"/>
        </w:rPr>
        <w:t>Pharm</w:t>
      </w:r>
      <w:r w:rsidR="0039478F">
        <w:rPr>
          <w:szCs w:val="22"/>
        </w:rPr>
        <w:t xml:space="preserve">acy errors accounted for 16 % (3 </w:t>
      </w:r>
      <w:r>
        <w:rPr>
          <w:szCs w:val="22"/>
        </w:rPr>
        <w:t xml:space="preserve">- data entry). </w:t>
      </w:r>
    </w:p>
    <w:p w:rsidR="00D40080" w:rsidRDefault="00D40080" w:rsidP="007C02F8">
      <w:pPr>
        <w:rPr>
          <w:szCs w:val="22"/>
        </w:rPr>
      </w:pPr>
    </w:p>
    <w:p w:rsidR="00B6263D" w:rsidRDefault="005B7123" w:rsidP="007C02F8">
      <w:pPr>
        <w:rPr>
          <w:szCs w:val="22"/>
        </w:rPr>
      </w:pPr>
      <w:r>
        <w:rPr>
          <w:szCs w:val="22"/>
        </w:rPr>
        <w:t>All errors are review</w:t>
      </w:r>
      <w:r w:rsidR="00B336A1">
        <w:rPr>
          <w:szCs w:val="22"/>
        </w:rPr>
        <w:t>ed</w:t>
      </w:r>
      <w:r>
        <w:rPr>
          <w:szCs w:val="22"/>
        </w:rPr>
        <w:t xml:space="preserve"> with </w:t>
      </w:r>
      <w:r w:rsidR="00B336A1">
        <w:rPr>
          <w:szCs w:val="22"/>
        </w:rPr>
        <w:t xml:space="preserve">the </w:t>
      </w:r>
      <w:r>
        <w:rPr>
          <w:szCs w:val="22"/>
        </w:rPr>
        <w:t>staff involved in the errors.  There were no errors resulting in injury to residents</w:t>
      </w:r>
      <w:r w:rsidR="00CD73F5">
        <w:rPr>
          <w:szCs w:val="22"/>
        </w:rPr>
        <w:t>.</w:t>
      </w:r>
    </w:p>
    <w:p w:rsidR="00CD73F5" w:rsidRDefault="00CD73F5" w:rsidP="007C02F8">
      <w:pPr>
        <w:rPr>
          <w:b/>
          <w:szCs w:val="22"/>
        </w:rPr>
      </w:pPr>
    </w:p>
    <w:p w:rsidR="007C02F8" w:rsidRDefault="007C02F8" w:rsidP="007C02F8">
      <w:pPr>
        <w:rPr>
          <w:b/>
          <w:szCs w:val="22"/>
        </w:rPr>
      </w:pPr>
      <w:r w:rsidRPr="009400B4">
        <w:rPr>
          <w:b/>
          <w:szCs w:val="22"/>
        </w:rPr>
        <w:t>Other Incidents</w:t>
      </w:r>
      <w:r w:rsidR="00A3371A">
        <w:rPr>
          <w:b/>
          <w:szCs w:val="22"/>
        </w:rPr>
        <w:t xml:space="preserve"> </w:t>
      </w:r>
    </w:p>
    <w:p w:rsidR="00791873" w:rsidRPr="009400B4" w:rsidRDefault="00791873" w:rsidP="007C02F8">
      <w:pPr>
        <w:rPr>
          <w:b/>
          <w:szCs w:val="22"/>
        </w:rPr>
      </w:pPr>
    </w:p>
    <w:p w:rsidR="007E6268" w:rsidRDefault="000A5242" w:rsidP="002958B0">
      <w:pPr>
        <w:rPr>
          <w:szCs w:val="22"/>
        </w:rPr>
      </w:pPr>
      <w:r>
        <w:rPr>
          <w:szCs w:val="22"/>
        </w:rPr>
        <w:t xml:space="preserve">Of the </w:t>
      </w:r>
      <w:r w:rsidR="00E70987">
        <w:rPr>
          <w:szCs w:val="22"/>
        </w:rPr>
        <w:t>32</w:t>
      </w:r>
      <w:r w:rsidR="00E70EC2">
        <w:rPr>
          <w:szCs w:val="22"/>
        </w:rPr>
        <w:t xml:space="preserve"> incidents classified as other, </w:t>
      </w:r>
      <w:r w:rsidR="00E70987">
        <w:rPr>
          <w:szCs w:val="22"/>
        </w:rPr>
        <w:t>4 were</w:t>
      </w:r>
      <w:r w:rsidR="00CD73F5">
        <w:rPr>
          <w:szCs w:val="22"/>
        </w:rPr>
        <w:t xml:space="preserve"> choking incidents</w:t>
      </w:r>
      <w:r w:rsidR="00E70EC2">
        <w:rPr>
          <w:szCs w:val="22"/>
        </w:rPr>
        <w:t>,</w:t>
      </w:r>
      <w:r w:rsidR="00CD73F5">
        <w:rPr>
          <w:szCs w:val="22"/>
        </w:rPr>
        <w:t xml:space="preserve"> </w:t>
      </w:r>
      <w:r w:rsidR="00E70987">
        <w:rPr>
          <w:szCs w:val="22"/>
        </w:rPr>
        <w:t>8 were elopement, 2 were injury of unknown cause, 6 were self-inflicted injury</w:t>
      </w:r>
      <w:r w:rsidR="008D5EA6">
        <w:rPr>
          <w:szCs w:val="22"/>
        </w:rPr>
        <w:t xml:space="preserve">, and </w:t>
      </w:r>
      <w:r w:rsidR="00E70987">
        <w:rPr>
          <w:szCs w:val="22"/>
        </w:rPr>
        <w:t>12</w:t>
      </w:r>
      <w:r w:rsidR="008D5EA6">
        <w:rPr>
          <w:szCs w:val="22"/>
        </w:rPr>
        <w:t xml:space="preserve"> other (e</w:t>
      </w:r>
      <w:r w:rsidR="00E70EC2">
        <w:rPr>
          <w:szCs w:val="22"/>
        </w:rPr>
        <w:t>g</w:t>
      </w:r>
      <w:r w:rsidR="008D5EA6">
        <w:rPr>
          <w:szCs w:val="22"/>
        </w:rPr>
        <w:t>.</w:t>
      </w:r>
      <w:r w:rsidR="006A280E">
        <w:rPr>
          <w:szCs w:val="22"/>
        </w:rPr>
        <w:t xml:space="preserve"> Resident ate </w:t>
      </w:r>
      <w:r w:rsidR="00E70987">
        <w:rPr>
          <w:szCs w:val="22"/>
        </w:rPr>
        <w:t xml:space="preserve">co-residents dessert, resident took scissors and cut co-residents lift strap, CCA accidentally removed sling from under resident, resident eating sandwich that wasn’t their diet order etc </w:t>
      </w:r>
      <w:r w:rsidR="008D5EA6">
        <w:rPr>
          <w:szCs w:val="22"/>
        </w:rPr>
        <w:t>)</w:t>
      </w:r>
    </w:p>
    <w:p w:rsidR="008B127B" w:rsidRDefault="008B127B" w:rsidP="002958B0">
      <w:pPr>
        <w:rPr>
          <w:szCs w:val="22"/>
        </w:rPr>
      </w:pPr>
    </w:p>
    <w:p w:rsidR="004A63A6" w:rsidRDefault="00E964A8" w:rsidP="00D70818">
      <w:pPr>
        <w:rPr>
          <w:b/>
          <w:sz w:val="24"/>
        </w:rPr>
      </w:pPr>
      <w:r>
        <w:rPr>
          <w:b/>
          <w:sz w:val="24"/>
        </w:rPr>
        <w:t>3.0</w:t>
      </w:r>
      <w:r>
        <w:rPr>
          <w:b/>
          <w:sz w:val="24"/>
        </w:rPr>
        <w:tab/>
      </w:r>
      <w:r w:rsidR="00D70818">
        <w:rPr>
          <w:b/>
          <w:sz w:val="24"/>
        </w:rPr>
        <w:t>Shoreham Village</w:t>
      </w:r>
      <w:r w:rsidR="00D70818" w:rsidRPr="008A1497">
        <w:rPr>
          <w:b/>
          <w:sz w:val="24"/>
        </w:rPr>
        <w:t xml:space="preserve"> - Resident</w:t>
      </w:r>
      <w:r w:rsidR="00D70818" w:rsidRPr="008A1497">
        <w:rPr>
          <w:b/>
          <w:bCs/>
          <w:i/>
          <w:iCs/>
          <w:sz w:val="24"/>
        </w:rPr>
        <w:t xml:space="preserve"> </w:t>
      </w:r>
      <w:r w:rsidR="00D70818" w:rsidRPr="008A1497">
        <w:rPr>
          <w:b/>
          <w:sz w:val="24"/>
        </w:rPr>
        <w:t>Infection Report – Q</w:t>
      </w:r>
      <w:r w:rsidR="00260D86">
        <w:rPr>
          <w:b/>
          <w:sz w:val="24"/>
        </w:rPr>
        <w:t>4 Jan - March</w:t>
      </w:r>
      <w:r w:rsidR="002A3CF7">
        <w:rPr>
          <w:b/>
        </w:rPr>
        <w:t xml:space="preserve"> </w:t>
      </w:r>
      <w:r w:rsidR="00260D86">
        <w:rPr>
          <w:b/>
        </w:rPr>
        <w:t>2022/23</w:t>
      </w:r>
    </w:p>
    <w:p w:rsidR="00E964A8" w:rsidRPr="008A1497" w:rsidRDefault="00E964A8" w:rsidP="00D70818">
      <w:pPr>
        <w:rPr>
          <w:b/>
          <w:sz w:val="24"/>
        </w:rPr>
      </w:pPr>
    </w:p>
    <w:tbl>
      <w:tblPr>
        <w:tblStyle w:val="TableGrid"/>
        <w:tblW w:w="9575" w:type="dxa"/>
        <w:tblLook w:val="04A0" w:firstRow="1" w:lastRow="0" w:firstColumn="1" w:lastColumn="0" w:noHBand="0" w:noVBand="1"/>
      </w:tblPr>
      <w:tblGrid>
        <w:gridCol w:w="2355"/>
        <w:gridCol w:w="1480"/>
        <w:gridCol w:w="1480"/>
        <w:gridCol w:w="1480"/>
        <w:gridCol w:w="1390"/>
        <w:gridCol w:w="1390"/>
      </w:tblGrid>
      <w:tr w:rsidR="002A3CF7" w:rsidTr="005B5C4A">
        <w:tc>
          <w:tcPr>
            <w:tcW w:w="2355" w:type="dxa"/>
          </w:tcPr>
          <w:p w:rsidR="002A3CF7" w:rsidRPr="00F05E23" w:rsidRDefault="002A3CF7" w:rsidP="00AC4680">
            <w:pPr>
              <w:rPr>
                <w:rFonts w:ascii="Calibri" w:hAnsi="Calibri"/>
                <w:b/>
                <w:bCs/>
                <w:color w:val="000000"/>
              </w:rPr>
            </w:pPr>
            <w:r w:rsidRPr="00F05E23">
              <w:rPr>
                <w:rFonts w:ascii="Calibri" w:hAnsi="Calibri"/>
                <w:b/>
                <w:bCs/>
                <w:color w:val="000000"/>
              </w:rPr>
              <w:t>Total # of In</w:t>
            </w:r>
            <w:r>
              <w:rPr>
                <w:rFonts w:ascii="Calibri" w:hAnsi="Calibri"/>
                <w:b/>
                <w:bCs/>
                <w:color w:val="000000"/>
              </w:rPr>
              <w:t>fections</w:t>
            </w:r>
            <w:r w:rsidRPr="00F05E23">
              <w:rPr>
                <w:rFonts w:ascii="Calibri" w:hAnsi="Calibri"/>
                <w:b/>
                <w:bCs/>
                <w:color w:val="000000"/>
              </w:rPr>
              <w:t xml:space="preserve"> Per Quarter</w:t>
            </w:r>
          </w:p>
        </w:tc>
        <w:tc>
          <w:tcPr>
            <w:tcW w:w="1480" w:type="dxa"/>
            <w:shd w:val="clear" w:color="auto" w:fill="D9D9D9" w:themeFill="background1" w:themeFillShade="D9"/>
          </w:tcPr>
          <w:p w:rsidR="002A3CF7" w:rsidRDefault="002A3CF7" w:rsidP="009F061E">
            <w:pPr>
              <w:ind w:right="158"/>
              <w:jc w:val="center"/>
              <w:rPr>
                <w:rFonts w:ascii="Calibri" w:hAnsi="Calibri"/>
                <w:b/>
                <w:bCs/>
                <w:color w:val="000000"/>
                <w:sz w:val="20"/>
                <w:szCs w:val="20"/>
              </w:rPr>
            </w:pPr>
            <w:r>
              <w:rPr>
                <w:rFonts w:ascii="Calibri" w:hAnsi="Calibri"/>
                <w:b/>
                <w:bCs/>
                <w:color w:val="000000"/>
                <w:sz w:val="20"/>
                <w:szCs w:val="20"/>
              </w:rPr>
              <w:t>Q</w:t>
            </w:r>
            <w:r w:rsidR="00336B28">
              <w:rPr>
                <w:rFonts w:ascii="Calibri" w:hAnsi="Calibri"/>
                <w:b/>
                <w:bCs/>
                <w:color w:val="000000"/>
                <w:sz w:val="20"/>
                <w:szCs w:val="20"/>
              </w:rPr>
              <w:t>4</w:t>
            </w:r>
          </w:p>
          <w:p w:rsidR="002A3CF7" w:rsidRPr="008E070D" w:rsidRDefault="00260D86" w:rsidP="009F061E">
            <w:pPr>
              <w:ind w:right="158"/>
              <w:jc w:val="center"/>
              <w:rPr>
                <w:rFonts w:ascii="Calibri" w:hAnsi="Calibri"/>
                <w:b/>
                <w:bCs/>
                <w:color w:val="000000"/>
                <w:sz w:val="20"/>
                <w:szCs w:val="20"/>
              </w:rPr>
            </w:pPr>
            <w:r>
              <w:rPr>
                <w:rFonts w:ascii="Calibri" w:hAnsi="Calibri"/>
                <w:b/>
                <w:bCs/>
                <w:color w:val="000000"/>
                <w:sz w:val="20"/>
                <w:szCs w:val="20"/>
              </w:rPr>
              <w:t>2021/22</w:t>
            </w:r>
          </w:p>
        </w:tc>
        <w:tc>
          <w:tcPr>
            <w:tcW w:w="1480" w:type="dxa"/>
          </w:tcPr>
          <w:p w:rsidR="002A3CF7" w:rsidRDefault="002A3CF7" w:rsidP="002A3CF7">
            <w:pPr>
              <w:ind w:right="158"/>
              <w:jc w:val="center"/>
              <w:rPr>
                <w:rFonts w:ascii="Calibri" w:hAnsi="Calibri"/>
                <w:b/>
                <w:bCs/>
                <w:color w:val="000000"/>
                <w:sz w:val="20"/>
                <w:szCs w:val="20"/>
              </w:rPr>
            </w:pPr>
            <w:r w:rsidRPr="008E070D">
              <w:rPr>
                <w:rFonts w:ascii="Calibri" w:hAnsi="Calibri"/>
                <w:b/>
                <w:bCs/>
                <w:color w:val="000000"/>
                <w:sz w:val="20"/>
                <w:szCs w:val="20"/>
              </w:rPr>
              <w:t>Q1</w:t>
            </w:r>
          </w:p>
          <w:p w:rsidR="002A3CF7" w:rsidRPr="008E070D" w:rsidRDefault="00260D86" w:rsidP="002A3CF7">
            <w:pPr>
              <w:ind w:right="158"/>
              <w:jc w:val="center"/>
              <w:rPr>
                <w:rFonts w:ascii="Calibri" w:hAnsi="Calibri"/>
                <w:b/>
                <w:bCs/>
                <w:color w:val="000000"/>
                <w:sz w:val="20"/>
                <w:szCs w:val="20"/>
              </w:rPr>
            </w:pPr>
            <w:r>
              <w:rPr>
                <w:rFonts w:ascii="Calibri" w:hAnsi="Calibri"/>
                <w:b/>
                <w:bCs/>
                <w:color w:val="000000"/>
                <w:sz w:val="20"/>
                <w:szCs w:val="20"/>
              </w:rPr>
              <w:t>2022/23</w:t>
            </w:r>
          </w:p>
        </w:tc>
        <w:tc>
          <w:tcPr>
            <w:tcW w:w="1480" w:type="dxa"/>
          </w:tcPr>
          <w:p w:rsidR="002A3CF7" w:rsidRDefault="002A3CF7" w:rsidP="002A3CF7">
            <w:pPr>
              <w:ind w:left="-108" w:right="162"/>
              <w:jc w:val="center"/>
              <w:rPr>
                <w:rFonts w:ascii="Calibri" w:hAnsi="Calibri"/>
                <w:b/>
                <w:bCs/>
                <w:color w:val="000000"/>
                <w:sz w:val="20"/>
                <w:szCs w:val="20"/>
              </w:rPr>
            </w:pPr>
            <w:r w:rsidRPr="008E070D">
              <w:rPr>
                <w:rFonts w:ascii="Calibri" w:hAnsi="Calibri"/>
                <w:b/>
                <w:bCs/>
                <w:color w:val="000000"/>
                <w:sz w:val="20"/>
                <w:szCs w:val="20"/>
              </w:rPr>
              <w:t>Q2</w:t>
            </w:r>
          </w:p>
          <w:p w:rsidR="002A3CF7" w:rsidRPr="008E070D" w:rsidRDefault="00260D86" w:rsidP="002A3CF7">
            <w:pPr>
              <w:ind w:right="162"/>
              <w:jc w:val="center"/>
              <w:rPr>
                <w:rFonts w:ascii="Calibri" w:hAnsi="Calibri"/>
                <w:b/>
                <w:bCs/>
                <w:color w:val="000000"/>
                <w:sz w:val="20"/>
                <w:szCs w:val="20"/>
              </w:rPr>
            </w:pPr>
            <w:r>
              <w:rPr>
                <w:rFonts w:ascii="Calibri" w:hAnsi="Calibri"/>
                <w:b/>
                <w:bCs/>
                <w:color w:val="000000"/>
                <w:sz w:val="20"/>
                <w:szCs w:val="20"/>
              </w:rPr>
              <w:t>2022/23</w:t>
            </w:r>
          </w:p>
        </w:tc>
        <w:tc>
          <w:tcPr>
            <w:tcW w:w="1390" w:type="dxa"/>
          </w:tcPr>
          <w:p w:rsidR="002A3CF7" w:rsidRDefault="002A3CF7" w:rsidP="002A3CF7">
            <w:pPr>
              <w:ind w:left="-3" w:right="162"/>
              <w:jc w:val="center"/>
              <w:rPr>
                <w:rFonts w:ascii="Calibri" w:hAnsi="Calibri"/>
                <w:b/>
                <w:bCs/>
                <w:color w:val="000000"/>
                <w:sz w:val="20"/>
                <w:szCs w:val="20"/>
              </w:rPr>
            </w:pPr>
            <w:r>
              <w:rPr>
                <w:rFonts w:ascii="Calibri" w:hAnsi="Calibri"/>
                <w:b/>
                <w:bCs/>
                <w:color w:val="000000"/>
                <w:sz w:val="20"/>
                <w:szCs w:val="20"/>
              </w:rPr>
              <w:t>Q3</w:t>
            </w:r>
          </w:p>
          <w:p w:rsidR="002A3CF7" w:rsidRPr="008E070D" w:rsidRDefault="00260D86" w:rsidP="002A3CF7">
            <w:pPr>
              <w:ind w:left="-3" w:right="162"/>
              <w:jc w:val="center"/>
              <w:rPr>
                <w:rFonts w:ascii="Calibri" w:hAnsi="Calibri"/>
                <w:b/>
                <w:bCs/>
                <w:color w:val="000000"/>
                <w:sz w:val="20"/>
                <w:szCs w:val="20"/>
              </w:rPr>
            </w:pPr>
            <w:r>
              <w:rPr>
                <w:rFonts w:ascii="Calibri" w:hAnsi="Calibri"/>
                <w:b/>
                <w:bCs/>
                <w:color w:val="000000"/>
                <w:sz w:val="20"/>
                <w:szCs w:val="20"/>
              </w:rPr>
              <w:t>2022/23</w:t>
            </w:r>
          </w:p>
        </w:tc>
        <w:tc>
          <w:tcPr>
            <w:tcW w:w="1390" w:type="dxa"/>
          </w:tcPr>
          <w:p w:rsidR="002A3CF7" w:rsidRDefault="002A3CF7" w:rsidP="002A3CF7">
            <w:pPr>
              <w:ind w:left="-3" w:right="162"/>
              <w:jc w:val="center"/>
              <w:rPr>
                <w:rFonts w:ascii="Calibri" w:hAnsi="Calibri"/>
                <w:b/>
                <w:bCs/>
                <w:color w:val="000000"/>
                <w:sz w:val="20"/>
                <w:szCs w:val="20"/>
              </w:rPr>
            </w:pPr>
            <w:r>
              <w:rPr>
                <w:rFonts w:ascii="Calibri" w:hAnsi="Calibri"/>
                <w:b/>
                <w:bCs/>
                <w:color w:val="000000"/>
                <w:sz w:val="20"/>
                <w:szCs w:val="20"/>
              </w:rPr>
              <w:t>Q4</w:t>
            </w:r>
          </w:p>
          <w:p w:rsidR="002A3CF7" w:rsidRDefault="00260D86" w:rsidP="002A3CF7">
            <w:pPr>
              <w:ind w:left="-3" w:right="162"/>
              <w:jc w:val="center"/>
              <w:rPr>
                <w:rFonts w:ascii="Calibri" w:hAnsi="Calibri"/>
                <w:b/>
                <w:bCs/>
                <w:color w:val="000000"/>
                <w:sz w:val="20"/>
                <w:szCs w:val="20"/>
              </w:rPr>
            </w:pPr>
            <w:r>
              <w:rPr>
                <w:rFonts w:ascii="Calibri" w:hAnsi="Calibri"/>
                <w:b/>
                <w:bCs/>
                <w:color w:val="000000"/>
                <w:sz w:val="20"/>
                <w:szCs w:val="20"/>
              </w:rPr>
              <w:t>2022/23</w:t>
            </w:r>
          </w:p>
        </w:tc>
      </w:tr>
      <w:tr w:rsidR="001539F0" w:rsidTr="005B5C4A">
        <w:tc>
          <w:tcPr>
            <w:tcW w:w="2355" w:type="dxa"/>
          </w:tcPr>
          <w:p w:rsidR="001539F0" w:rsidRDefault="001539F0" w:rsidP="001539F0">
            <w:r>
              <w:t>Respiratory</w:t>
            </w:r>
          </w:p>
        </w:tc>
        <w:tc>
          <w:tcPr>
            <w:tcW w:w="1480" w:type="dxa"/>
            <w:shd w:val="clear" w:color="auto" w:fill="D9D9D9" w:themeFill="background1" w:themeFillShade="D9"/>
          </w:tcPr>
          <w:p w:rsidR="001539F0" w:rsidRPr="009777EE" w:rsidRDefault="001539F0" w:rsidP="001539F0">
            <w:pPr>
              <w:jc w:val="center"/>
            </w:pPr>
            <w:r w:rsidRPr="009777EE">
              <w:t>64*</w:t>
            </w:r>
          </w:p>
        </w:tc>
        <w:tc>
          <w:tcPr>
            <w:tcW w:w="1480" w:type="dxa"/>
          </w:tcPr>
          <w:p w:rsidR="001539F0" w:rsidRPr="0035572C" w:rsidRDefault="001539F0" w:rsidP="001539F0">
            <w:r w:rsidRPr="0035572C">
              <w:t>1</w:t>
            </w:r>
          </w:p>
        </w:tc>
        <w:tc>
          <w:tcPr>
            <w:tcW w:w="1480" w:type="dxa"/>
          </w:tcPr>
          <w:p w:rsidR="001539F0" w:rsidRPr="0035572C" w:rsidRDefault="001539F0" w:rsidP="001539F0">
            <w:r w:rsidRPr="0035572C">
              <w:t>2</w:t>
            </w:r>
          </w:p>
        </w:tc>
        <w:tc>
          <w:tcPr>
            <w:tcW w:w="1390" w:type="dxa"/>
          </w:tcPr>
          <w:p w:rsidR="001539F0" w:rsidRPr="0035572C" w:rsidRDefault="001539F0" w:rsidP="001539F0">
            <w:r w:rsidRPr="0035572C">
              <w:t>5</w:t>
            </w:r>
          </w:p>
        </w:tc>
        <w:tc>
          <w:tcPr>
            <w:tcW w:w="1390" w:type="dxa"/>
          </w:tcPr>
          <w:p w:rsidR="001539F0" w:rsidRDefault="000E0511" w:rsidP="001539F0">
            <w:pPr>
              <w:jc w:val="center"/>
            </w:pPr>
            <w:r>
              <w:t>12</w:t>
            </w:r>
          </w:p>
        </w:tc>
      </w:tr>
      <w:tr w:rsidR="001539F0" w:rsidTr="005B5C4A">
        <w:tc>
          <w:tcPr>
            <w:tcW w:w="2355" w:type="dxa"/>
          </w:tcPr>
          <w:p w:rsidR="001539F0" w:rsidRDefault="001539F0" w:rsidP="001539F0">
            <w:r>
              <w:t xml:space="preserve">Urinary Tract </w:t>
            </w:r>
          </w:p>
        </w:tc>
        <w:tc>
          <w:tcPr>
            <w:tcW w:w="1480" w:type="dxa"/>
            <w:shd w:val="clear" w:color="auto" w:fill="D9D9D9" w:themeFill="background1" w:themeFillShade="D9"/>
          </w:tcPr>
          <w:p w:rsidR="001539F0" w:rsidRPr="009777EE" w:rsidRDefault="001539F0" w:rsidP="001539F0">
            <w:pPr>
              <w:jc w:val="center"/>
            </w:pPr>
            <w:r w:rsidRPr="009777EE">
              <w:t>2</w:t>
            </w:r>
          </w:p>
        </w:tc>
        <w:tc>
          <w:tcPr>
            <w:tcW w:w="1480" w:type="dxa"/>
          </w:tcPr>
          <w:p w:rsidR="001539F0" w:rsidRPr="0035572C" w:rsidRDefault="001539F0" w:rsidP="001539F0">
            <w:r w:rsidRPr="0035572C">
              <w:t>8</w:t>
            </w:r>
          </w:p>
        </w:tc>
        <w:tc>
          <w:tcPr>
            <w:tcW w:w="1480" w:type="dxa"/>
          </w:tcPr>
          <w:p w:rsidR="001539F0" w:rsidRPr="0035572C" w:rsidRDefault="001539F0" w:rsidP="001539F0">
            <w:r w:rsidRPr="0035572C">
              <w:t>5</w:t>
            </w:r>
          </w:p>
        </w:tc>
        <w:tc>
          <w:tcPr>
            <w:tcW w:w="1390" w:type="dxa"/>
          </w:tcPr>
          <w:p w:rsidR="001539F0" w:rsidRPr="0035572C" w:rsidRDefault="001539F0" w:rsidP="001539F0">
            <w:r w:rsidRPr="0035572C">
              <w:t>5</w:t>
            </w:r>
          </w:p>
        </w:tc>
        <w:tc>
          <w:tcPr>
            <w:tcW w:w="1390" w:type="dxa"/>
          </w:tcPr>
          <w:p w:rsidR="001539F0" w:rsidRDefault="000E0511" w:rsidP="001539F0">
            <w:pPr>
              <w:jc w:val="center"/>
            </w:pPr>
            <w:r>
              <w:t>13</w:t>
            </w:r>
          </w:p>
        </w:tc>
      </w:tr>
      <w:tr w:rsidR="001539F0" w:rsidTr="005B5C4A">
        <w:tc>
          <w:tcPr>
            <w:tcW w:w="2355" w:type="dxa"/>
          </w:tcPr>
          <w:p w:rsidR="001539F0" w:rsidRDefault="001539F0" w:rsidP="001539F0">
            <w:r>
              <w:t xml:space="preserve">Skin </w:t>
            </w:r>
          </w:p>
        </w:tc>
        <w:tc>
          <w:tcPr>
            <w:tcW w:w="1480" w:type="dxa"/>
            <w:shd w:val="clear" w:color="auto" w:fill="D9D9D9" w:themeFill="background1" w:themeFillShade="D9"/>
          </w:tcPr>
          <w:p w:rsidR="001539F0" w:rsidRPr="009777EE" w:rsidRDefault="001539F0" w:rsidP="001539F0">
            <w:pPr>
              <w:jc w:val="center"/>
            </w:pPr>
            <w:r w:rsidRPr="009777EE">
              <w:t>2</w:t>
            </w:r>
          </w:p>
        </w:tc>
        <w:tc>
          <w:tcPr>
            <w:tcW w:w="1480" w:type="dxa"/>
          </w:tcPr>
          <w:p w:rsidR="001539F0" w:rsidRPr="0035572C" w:rsidRDefault="001539F0" w:rsidP="001539F0">
            <w:r w:rsidRPr="0035572C">
              <w:t>1</w:t>
            </w:r>
          </w:p>
        </w:tc>
        <w:tc>
          <w:tcPr>
            <w:tcW w:w="1480" w:type="dxa"/>
          </w:tcPr>
          <w:p w:rsidR="001539F0" w:rsidRPr="0035572C" w:rsidRDefault="001539F0" w:rsidP="001539F0">
            <w:r w:rsidRPr="0035572C">
              <w:t>2</w:t>
            </w:r>
          </w:p>
        </w:tc>
        <w:tc>
          <w:tcPr>
            <w:tcW w:w="1390" w:type="dxa"/>
          </w:tcPr>
          <w:p w:rsidR="001539F0" w:rsidRPr="0035572C" w:rsidRDefault="001539F0" w:rsidP="001539F0">
            <w:r w:rsidRPr="0035572C">
              <w:t>7</w:t>
            </w:r>
          </w:p>
        </w:tc>
        <w:tc>
          <w:tcPr>
            <w:tcW w:w="1390" w:type="dxa"/>
          </w:tcPr>
          <w:p w:rsidR="001539F0" w:rsidRDefault="000E0511" w:rsidP="001539F0">
            <w:pPr>
              <w:jc w:val="center"/>
            </w:pPr>
            <w:r>
              <w:t>12</w:t>
            </w:r>
          </w:p>
        </w:tc>
      </w:tr>
      <w:tr w:rsidR="001539F0" w:rsidTr="005B5C4A">
        <w:tc>
          <w:tcPr>
            <w:tcW w:w="2355" w:type="dxa"/>
          </w:tcPr>
          <w:p w:rsidR="001539F0" w:rsidRDefault="001539F0" w:rsidP="001539F0">
            <w:r>
              <w:t xml:space="preserve">Gastrointestinal </w:t>
            </w:r>
          </w:p>
        </w:tc>
        <w:tc>
          <w:tcPr>
            <w:tcW w:w="1480" w:type="dxa"/>
            <w:shd w:val="clear" w:color="auto" w:fill="D9D9D9" w:themeFill="background1" w:themeFillShade="D9"/>
          </w:tcPr>
          <w:p w:rsidR="001539F0" w:rsidRPr="009777EE" w:rsidRDefault="001539F0" w:rsidP="001539F0">
            <w:pPr>
              <w:jc w:val="center"/>
            </w:pPr>
            <w:r w:rsidRPr="009777EE">
              <w:t>0</w:t>
            </w:r>
          </w:p>
        </w:tc>
        <w:tc>
          <w:tcPr>
            <w:tcW w:w="1480" w:type="dxa"/>
          </w:tcPr>
          <w:p w:rsidR="001539F0" w:rsidRPr="0035572C" w:rsidRDefault="001539F0" w:rsidP="001539F0">
            <w:r w:rsidRPr="0035572C">
              <w:t>0</w:t>
            </w:r>
          </w:p>
        </w:tc>
        <w:tc>
          <w:tcPr>
            <w:tcW w:w="1480" w:type="dxa"/>
          </w:tcPr>
          <w:p w:rsidR="001539F0" w:rsidRPr="0035572C" w:rsidRDefault="001539F0" w:rsidP="001539F0">
            <w:r w:rsidRPr="0035572C">
              <w:t>2</w:t>
            </w:r>
          </w:p>
        </w:tc>
        <w:tc>
          <w:tcPr>
            <w:tcW w:w="1390" w:type="dxa"/>
          </w:tcPr>
          <w:p w:rsidR="001539F0" w:rsidRPr="0035572C" w:rsidRDefault="001539F0" w:rsidP="001539F0">
            <w:r w:rsidRPr="0035572C">
              <w:t>0</w:t>
            </w:r>
          </w:p>
        </w:tc>
        <w:tc>
          <w:tcPr>
            <w:tcW w:w="1390" w:type="dxa"/>
          </w:tcPr>
          <w:p w:rsidR="001539F0" w:rsidRDefault="000E0511" w:rsidP="001539F0">
            <w:pPr>
              <w:jc w:val="center"/>
            </w:pPr>
            <w:r>
              <w:t>1</w:t>
            </w:r>
          </w:p>
        </w:tc>
      </w:tr>
      <w:tr w:rsidR="001539F0" w:rsidTr="005B5C4A">
        <w:tc>
          <w:tcPr>
            <w:tcW w:w="2355" w:type="dxa"/>
          </w:tcPr>
          <w:p w:rsidR="001539F0" w:rsidRDefault="001539F0" w:rsidP="001539F0">
            <w:r>
              <w:t>Other</w:t>
            </w:r>
          </w:p>
        </w:tc>
        <w:tc>
          <w:tcPr>
            <w:tcW w:w="1480" w:type="dxa"/>
            <w:shd w:val="clear" w:color="auto" w:fill="D9D9D9" w:themeFill="background1" w:themeFillShade="D9"/>
          </w:tcPr>
          <w:p w:rsidR="001539F0" w:rsidRPr="009777EE" w:rsidRDefault="001539F0" w:rsidP="001539F0">
            <w:pPr>
              <w:jc w:val="center"/>
            </w:pPr>
            <w:r w:rsidRPr="009777EE">
              <w:t>3</w:t>
            </w:r>
          </w:p>
        </w:tc>
        <w:tc>
          <w:tcPr>
            <w:tcW w:w="1480" w:type="dxa"/>
          </w:tcPr>
          <w:p w:rsidR="001539F0" w:rsidRPr="0035572C" w:rsidRDefault="001539F0" w:rsidP="001539F0">
            <w:r w:rsidRPr="0035572C">
              <w:t>6</w:t>
            </w:r>
          </w:p>
        </w:tc>
        <w:tc>
          <w:tcPr>
            <w:tcW w:w="1480" w:type="dxa"/>
          </w:tcPr>
          <w:p w:rsidR="001539F0" w:rsidRPr="0035572C" w:rsidRDefault="001539F0" w:rsidP="001539F0">
            <w:r w:rsidRPr="0035572C">
              <w:t>1</w:t>
            </w:r>
          </w:p>
        </w:tc>
        <w:tc>
          <w:tcPr>
            <w:tcW w:w="1390" w:type="dxa"/>
          </w:tcPr>
          <w:p w:rsidR="001539F0" w:rsidRPr="0035572C" w:rsidRDefault="001539F0" w:rsidP="001539F0">
            <w:r w:rsidRPr="0035572C">
              <w:t>1</w:t>
            </w:r>
          </w:p>
        </w:tc>
        <w:tc>
          <w:tcPr>
            <w:tcW w:w="1390" w:type="dxa"/>
          </w:tcPr>
          <w:p w:rsidR="001539F0" w:rsidRDefault="000E0511" w:rsidP="001539F0">
            <w:pPr>
              <w:jc w:val="center"/>
            </w:pPr>
            <w:r>
              <w:t>5</w:t>
            </w:r>
          </w:p>
        </w:tc>
      </w:tr>
      <w:tr w:rsidR="001539F0" w:rsidTr="005B5C4A">
        <w:tc>
          <w:tcPr>
            <w:tcW w:w="2355" w:type="dxa"/>
          </w:tcPr>
          <w:p w:rsidR="001539F0" w:rsidRDefault="001539F0" w:rsidP="001539F0"/>
        </w:tc>
        <w:tc>
          <w:tcPr>
            <w:tcW w:w="1480" w:type="dxa"/>
            <w:shd w:val="clear" w:color="auto" w:fill="D9D9D9" w:themeFill="background1" w:themeFillShade="D9"/>
          </w:tcPr>
          <w:p w:rsidR="001539F0" w:rsidRPr="009777EE" w:rsidRDefault="001539F0" w:rsidP="001539F0">
            <w:pPr>
              <w:jc w:val="center"/>
            </w:pPr>
          </w:p>
        </w:tc>
        <w:tc>
          <w:tcPr>
            <w:tcW w:w="1480" w:type="dxa"/>
          </w:tcPr>
          <w:p w:rsidR="001539F0" w:rsidRPr="0035572C" w:rsidRDefault="001539F0" w:rsidP="001539F0"/>
        </w:tc>
        <w:tc>
          <w:tcPr>
            <w:tcW w:w="1480" w:type="dxa"/>
          </w:tcPr>
          <w:p w:rsidR="001539F0" w:rsidRPr="0035572C" w:rsidRDefault="001539F0" w:rsidP="001539F0"/>
        </w:tc>
        <w:tc>
          <w:tcPr>
            <w:tcW w:w="1390" w:type="dxa"/>
          </w:tcPr>
          <w:p w:rsidR="001539F0" w:rsidRPr="0035572C" w:rsidRDefault="001539F0" w:rsidP="001539F0"/>
        </w:tc>
        <w:tc>
          <w:tcPr>
            <w:tcW w:w="1390" w:type="dxa"/>
          </w:tcPr>
          <w:p w:rsidR="001539F0" w:rsidRDefault="001539F0" w:rsidP="001539F0">
            <w:pPr>
              <w:jc w:val="center"/>
            </w:pPr>
          </w:p>
        </w:tc>
      </w:tr>
      <w:tr w:rsidR="001539F0" w:rsidTr="005B5C4A">
        <w:tc>
          <w:tcPr>
            <w:tcW w:w="2355" w:type="dxa"/>
          </w:tcPr>
          <w:p w:rsidR="001539F0" w:rsidRDefault="001539F0" w:rsidP="001539F0">
            <w:r>
              <w:t xml:space="preserve">Total </w:t>
            </w:r>
          </w:p>
        </w:tc>
        <w:tc>
          <w:tcPr>
            <w:tcW w:w="1480" w:type="dxa"/>
            <w:shd w:val="clear" w:color="auto" w:fill="D9D9D9" w:themeFill="background1" w:themeFillShade="D9"/>
          </w:tcPr>
          <w:p w:rsidR="001539F0" w:rsidRDefault="001539F0" w:rsidP="001539F0">
            <w:pPr>
              <w:jc w:val="center"/>
            </w:pPr>
            <w:r w:rsidRPr="009777EE">
              <w:t>71</w:t>
            </w:r>
          </w:p>
        </w:tc>
        <w:tc>
          <w:tcPr>
            <w:tcW w:w="1480" w:type="dxa"/>
          </w:tcPr>
          <w:p w:rsidR="001539F0" w:rsidRPr="0035572C" w:rsidRDefault="001539F0" w:rsidP="001539F0">
            <w:r w:rsidRPr="0035572C">
              <w:t>16</w:t>
            </w:r>
          </w:p>
        </w:tc>
        <w:tc>
          <w:tcPr>
            <w:tcW w:w="1480" w:type="dxa"/>
          </w:tcPr>
          <w:p w:rsidR="001539F0" w:rsidRPr="0035572C" w:rsidRDefault="001539F0" w:rsidP="001539F0">
            <w:r w:rsidRPr="0035572C">
              <w:t>12</w:t>
            </w:r>
          </w:p>
        </w:tc>
        <w:tc>
          <w:tcPr>
            <w:tcW w:w="1390" w:type="dxa"/>
          </w:tcPr>
          <w:p w:rsidR="001539F0" w:rsidRDefault="001539F0" w:rsidP="001539F0">
            <w:r w:rsidRPr="0035572C">
              <w:t>18</w:t>
            </w:r>
          </w:p>
        </w:tc>
        <w:tc>
          <w:tcPr>
            <w:tcW w:w="1390" w:type="dxa"/>
          </w:tcPr>
          <w:p w:rsidR="001539F0" w:rsidRDefault="000E0511" w:rsidP="001539F0">
            <w:pPr>
              <w:jc w:val="center"/>
            </w:pPr>
            <w:r>
              <w:t>43</w:t>
            </w:r>
          </w:p>
        </w:tc>
      </w:tr>
      <w:tr w:rsidR="00506351" w:rsidTr="005B5C4A">
        <w:tc>
          <w:tcPr>
            <w:tcW w:w="8185" w:type="dxa"/>
            <w:gridSpan w:val="5"/>
            <w:shd w:val="clear" w:color="auto" w:fill="BFBFBF" w:themeFill="background1" w:themeFillShade="BF"/>
          </w:tcPr>
          <w:p w:rsidR="00506351" w:rsidRDefault="00506351" w:rsidP="00506351">
            <w:pPr>
              <w:jc w:val="center"/>
            </w:pPr>
          </w:p>
        </w:tc>
        <w:tc>
          <w:tcPr>
            <w:tcW w:w="1390" w:type="dxa"/>
            <w:shd w:val="clear" w:color="auto" w:fill="BFBFBF" w:themeFill="background1" w:themeFillShade="BF"/>
          </w:tcPr>
          <w:p w:rsidR="00506351" w:rsidRDefault="00506351" w:rsidP="00506351">
            <w:pPr>
              <w:jc w:val="center"/>
            </w:pPr>
          </w:p>
        </w:tc>
      </w:tr>
      <w:tr w:rsidR="00506351" w:rsidTr="005B5C4A">
        <w:tc>
          <w:tcPr>
            <w:tcW w:w="2355" w:type="dxa"/>
          </w:tcPr>
          <w:p w:rsidR="00506351" w:rsidRPr="00F05E23" w:rsidRDefault="00506351" w:rsidP="00506351">
            <w:pPr>
              <w:rPr>
                <w:rFonts w:ascii="Calibri" w:hAnsi="Calibri"/>
                <w:b/>
                <w:bCs/>
                <w:color w:val="000000"/>
              </w:rPr>
            </w:pPr>
            <w:r w:rsidRPr="00F05E23">
              <w:rPr>
                <w:rFonts w:ascii="Calibri" w:hAnsi="Calibri"/>
                <w:b/>
                <w:bCs/>
                <w:color w:val="000000"/>
              </w:rPr>
              <w:t>Incident</w:t>
            </w:r>
            <w:r>
              <w:rPr>
                <w:rFonts w:ascii="Calibri" w:hAnsi="Calibri"/>
                <w:b/>
                <w:bCs/>
                <w:color w:val="000000"/>
              </w:rPr>
              <w:t xml:space="preserve"> Rate </w:t>
            </w:r>
            <w:r w:rsidRPr="00F05E23">
              <w:rPr>
                <w:rFonts w:ascii="Calibri" w:hAnsi="Calibri"/>
                <w:b/>
                <w:bCs/>
                <w:color w:val="000000"/>
              </w:rPr>
              <w:t>Per 1000 Resident Days</w:t>
            </w:r>
          </w:p>
        </w:tc>
        <w:tc>
          <w:tcPr>
            <w:tcW w:w="1480" w:type="dxa"/>
            <w:shd w:val="clear" w:color="auto" w:fill="D9D9D9" w:themeFill="background1" w:themeFillShade="D9"/>
          </w:tcPr>
          <w:p w:rsidR="00506351" w:rsidRPr="009F061E" w:rsidRDefault="00506351" w:rsidP="00506351">
            <w:pPr>
              <w:ind w:right="158"/>
              <w:jc w:val="center"/>
              <w:rPr>
                <w:rFonts w:ascii="Calibri" w:hAnsi="Calibri"/>
                <w:b/>
                <w:bCs/>
                <w:color w:val="000000"/>
                <w:sz w:val="20"/>
                <w:szCs w:val="20"/>
              </w:rPr>
            </w:pPr>
            <w:r w:rsidRPr="009F061E">
              <w:rPr>
                <w:rFonts w:ascii="Calibri" w:hAnsi="Calibri"/>
                <w:b/>
                <w:bCs/>
                <w:color w:val="000000"/>
                <w:sz w:val="20"/>
                <w:szCs w:val="20"/>
              </w:rPr>
              <w:t>Q</w:t>
            </w:r>
            <w:r w:rsidR="00336B28">
              <w:rPr>
                <w:rFonts w:ascii="Calibri" w:hAnsi="Calibri"/>
                <w:b/>
                <w:bCs/>
                <w:color w:val="000000"/>
                <w:sz w:val="20"/>
                <w:szCs w:val="20"/>
              </w:rPr>
              <w:t>4</w:t>
            </w:r>
          </w:p>
          <w:p w:rsidR="00506351" w:rsidRPr="008E070D" w:rsidRDefault="00260D86" w:rsidP="00506351">
            <w:pPr>
              <w:ind w:right="158"/>
              <w:jc w:val="center"/>
              <w:rPr>
                <w:rFonts w:ascii="Calibri" w:hAnsi="Calibri"/>
                <w:b/>
                <w:bCs/>
                <w:color w:val="000000"/>
                <w:sz w:val="20"/>
                <w:szCs w:val="20"/>
              </w:rPr>
            </w:pPr>
            <w:r>
              <w:rPr>
                <w:rFonts w:ascii="Calibri" w:hAnsi="Calibri"/>
                <w:b/>
                <w:bCs/>
                <w:color w:val="000000"/>
                <w:sz w:val="20"/>
                <w:szCs w:val="20"/>
              </w:rPr>
              <w:t>2021/22</w:t>
            </w:r>
          </w:p>
        </w:tc>
        <w:tc>
          <w:tcPr>
            <w:tcW w:w="1480" w:type="dxa"/>
          </w:tcPr>
          <w:p w:rsidR="00506351" w:rsidRDefault="00506351" w:rsidP="00506351">
            <w:pPr>
              <w:ind w:right="158"/>
              <w:jc w:val="center"/>
              <w:rPr>
                <w:rFonts w:ascii="Calibri" w:hAnsi="Calibri"/>
                <w:b/>
                <w:bCs/>
                <w:color w:val="000000"/>
                <w:sz w:val="20"/>
                <w:szCs w:val="20"/>
              </w:rPr>
            </w:pPr>
            <w:r w:rsidRPr="008E070D">
              <w:rPr>
                <w:rFonts w:ascii="Calibri" w:hAnsi="Calibri"/>
                <w:b/>
                <w:bCs/>
                <w:color w:val="000000"/>
                <w:sz w:val="20"/>
                <w:szCs w:val="20"/>
              </w:rPr>
              <w:t>Q1</w:t>
            </w:r>
          </w:p>
          <w:p w:rsidR="00506351" w:rsidRPr="008E070D" w:rsidRDefault="00260D86" w:rsidP="00506351">
            <w:pPr>
              <w:ind w:right="158"/>
              <w:jc w:val="center"/>
              <w:rPr>
                <w:rFonts w:ascii="Calibri" w:hAnsi="Calibri"/>
                <w:b/>
                <w:bCs/>
                <w:color w:val="000000"/>
                <w:sz w:val="20"/>
                <w:szCs w:val="20"/>
              </w:rPr>
            </w:pPr>
            <w:r>
              <w:rPr>
                <w:rFonts w:ascii="Calibri" w:hAnsi="Calibri"/>
                <w:b/>
                <w:bCs/>
                <w:color w:val="000000"/>
                <w:sz w:val="20"/>
                <w:szCs w:val="20"/>
              </w:rPr>
              <w:t>2022/23</w:t>
            </w:r>
          </w:p>
        </w:tc>
        <w:tc>
          <w:tcPr>
            <w:tcW w:w="1480" w:type="dxa"/>
          </w:tcPr>
          <w:p w:rsidR="00506351" w:rsidRDefault="00506351" w:rsidP="00506351">
            <w:pPr>
              <w:ind w:left="-108" w:right="162"/>
              <w:jc w:val="center"/>
              <w:rPr>
                <w:rFonts w:ascii="Calibri" w:hAnsi="Calibri"/>
                <w:b/>
                <w:bCs/>
                <w:color w:val="000000"/>
                <w:sz w:val="20"/>
                <w:szCs w:val="20"/>
              </w:rPr>
            </w:pPr>
            <w:r w:rsidRPr="008E070D">
              <w:rPr>
                <w:rFonts w:ascii="Calibri" w:hAnsi="Calibri"/>
                <w:b/>
                <w:bCs/>
                <w:color w:val="000000"/>
                <w:sz w:val="20"/>
                <w:szCs w:val="20"/>
              </w:rPr>
              <w:t>Q2</w:t>
            </w:r>
          </w:p>
          <w:p w:rsidR="00506351" w:rsidRPr="008E070D" w:rsidRDefault="00260D86" w:rsidP="00506351">
            <w:pPr>
              <w:ind w:right="162"/>
              <w:jc w:val="center"/>
              <w:rPr>
                <w:rFonts w:ascii="Calibri" w:hAnsi="Calibri"/>
                <w:b/>
                <w:bCs/>
                <w:color w:val="000000"/>
                <w:sz w:val="20"/>
                <w:szCs w:val="20"/>
              </w:rPr>
            </w:pPr>
            <w:r>
              <w:rPr>
                <w:rFonts w:ascii="Calibri" w:hAnsi="Calibri"/>
                <w:b/>
                <w:bCs/>
                <w:color w:val="000000"/>
                <w:sz w:val="20"/>
                <w:szCs w:val="20"/>
              </w:rPr>
              <w:t>2022/23</w:t>
            </w:r>
          </w:p>
        </w:tc>
        <w:tc>
          <w:tcPr>
            <w:tcW w:w="1390" w:type="dxa"/>
          </w:tcPr>
          <w:p w:rsidR="00506351" w:rsidRDefault="00506351" w:rsidP="00506351">
            <w:pPr>
              <w:ind w:left="-3" w:right="162"/>
              <w:jc w:val="center"/>
              <w:rPr>
                <w:rFonts w:ascii="Calibri" w:hAnsi="Calibri"/>
                <w:b/>
                <w:bCs/>
                <w:color w:val="000000"/>
                <w:sz w:val="20"/>
                <w:szCs w:val="20"/>
              </w:rPr>
            </w:pPr>
            <w:r>
              <w:rPr>
                <w:rFonts w:ascii="Calibri" w:hAnsi="Calibri"/>
                <w:b/>
                <w:bCs/>
                <w:color w:val="000000"/>
                <w:sz w:val="20"/>
                <w:szCs w:val="20"/>
              </w:rPr>
              <w:t>Q3</w:t>
            </w:r>
          </w:p>
          <w:p w:rsidR="00506351" w:rsidRPr="008E070D" w:rsidRDefault="00260D86" w:rsidP="00506351">
            <w:pPr>
              <w:ind w:left="-3" w:right="162"/>
              <w:jc w:val="center"/>
              <w:rPr>
                <w:rFonts w:ascii="Calibri" w:hAnsi="Calibri"/>
                <w:b/>
                <w:bCs/>
                <w:color w:val="000000"/>
                <w:sz w:val="20"/>
                <w:szCs w:val="20"/>
              </w:rPr>
            </w:pPr>
            <w:r>
              <w:rPr>
                <w:rFonts w:ascii="Calibri" w:hAnsi="Calibri"/>
                <w:b/>
                <w:bCs/>
                <w:color w:val="000000"/>
                <w:sz w:val="20"/>
                <w:szCs w:val="20"/>
              </w:rPr>
              <w:t>2022/23</w:t>
            </w:r>
          </w:p>
        </w:tc>
        <w:tc>
          <w:tcPr>
            <w:tcW w:w="1390" w:type="dxa"/>
          </w:tcPr>
          <w:p w:rsidR="00506351" w:rsidRDefault="00506351" w:rsidP="00506351">
            <w:pPr>
              <w:ind w:left="-3" w:right="162"/>
              <w:jc w:val="center"/>
              <w:rPr>
                <w:rFonts w:ascii="Calibri" w:hAnsi="Calibri"/>
                <w:b/>
                <w:bCs/>
                <w:color w:val="000000"/>
                <w:sz w:val="20"/>
                <w:szCs w:val="20"/>
              </w:rPr>
            </w:pPr>
            <w:r>
              <w:rPr>
                <w:rFonts w:ascii="Calibri" w:hAnsi="Calibri"/>
                <w:b/>
                <w:bCs/>
                <w:color w:val="000000"/>
                <w:sz w:val="20"/>
                <w:szCs w:val="20"/>
              </w:rPr>
              <w:t>Q4</w:t>
            </w:r>
          </w:p>
          <w:p w:rsidR="00506351" w:rsidRDefault="00506351" w:rsidP="00260D86">
            <w:pPr>
              <w:ind w:left="-3" w:right="162"/>
              <w:jc w:val="center"/>
              <w:rPr>
                <w:rFonts w:ascii="Calibri" w:hAnsi="Calibri"/>
                <w:b/>
                <w:bCs/>
                <w:color w:val="000000"/>
                <w:sz w:val="20"/>
                <w:szCs w:val="20"/>
              </w:rPr>
            </w:pPr>
            <w:r>
              <w:rPr>
                <w:rFonts w:ascii="Calibri" w:hAnsi="Calibri"/>
                <w:b/>
                <w:bCs/>
                <w:color w:val="000000"/>
                <w:sz w:val="20"/>
                <w:szCs w:val="20"/>
              </w:rPr>
              <w:t>202</w:t>
            </w:r>
            <w:r w:rsidR="00260D86">
              <w:rPr>
                <w:rFonts w:ascii="Calibri" w:hAnsi="Calibri"/>
                <w:b/>
                <w:bCs/>
                <w:color w:val="000000"/>
                <w:sz w:val="20"/>
                <w:szCs w:val="20"/>
              </w:rPr>
              <w:t>2/23</w:t>
            </w:r>
          </w:p>
        </w:tc>
      </w:tr>
      <w:tr w:rsidR="001539F0" w:rsidTr="005A2CE6">
        <w:tc>
          <w:tcPr>
            <w:tcW w:w="2355" w:type="dxa"/>
          </w:tcPr>
          <w:p w:rsidR="001539F0" w:rsidRDefault="001539F0" w:rsidP="001539F0">
            <w:r>
              <w:t>Respiratory</w:t>
            </w:r>
          </w:p>
        </w:tc>
        <w:tc>
          <w:tcPr>
            <w:tcW w:w="1480" w:type="dxa"/>
            <w:shd w:val="clear" w:color="auto" w:fill="D9D9D9" w:themeFill="background1" w:themeFillShade="D9"/>
          </w:tcPr>
          <w:p w:rsidR="001539F0" w:rsidRPr="00D67D1C" w:rsidRDefault="001539F0" w:rsidP="001539F0">
            <w:pPr>
              <w:jc w:val="center"/>
            </w:pPr>
            <w:r w:rsidRPr="00D67D1C">
              <w:t>8.77</w:t>
            </w:r>
          </w:p>
        </w:tc>
        <w:tc>
          <w:tcPr>
            <w:tcW w:w="1480" w:type="dxa"/>
          </w:tcPr>
          <w:p w:rsidR="001539F0" w:rsidRPr="00C56AA0" w:rsidRDefault="001539F0" w:rsidP="001539F0">
            <w:r w:rsidRPr="00C56AA0">
              <w:t>0.13</w:t>
            </w:r>
          </w:p>
        </w:tc>
        <w:tc>
          <w:tcPr>
            <w:tcW w:w="1480" w:type="dxa"/>
          </w:tcPr>
          <w:p w:rsidR="001539F0" w:rsidRPr="00C56AA0" w:rsidRDefault="001539F0" w:rsidP="001539F0">
            <w:r w:rsidRPr="00C56AA0">
              <w:t>0.24</w:t>
            </w:r>
          </w:p>
        </w:tc>
        <w:tc>
          <w:tcPr>
            <w:tcW w:w="1390" w:type="dxa"/>
          </w:tcPr>
          <w:p w:rsidR="001539F0" w:rsidRPr="00C56AA0" w:rsidRDefault="001539F0" w:rsidP="001539F0">
            <w:r w:rsidRPr="00C56AA0">
              <w:t>0.62</w:t>
            </w:r>
          </w:p>
        </w:tc>
        <w:tc>
          <w:tcPr>
            <w:tcW w:w="1390" w:type="dxa"/>
          </w:tcPr>
          <w:p w:rsidR="001539F0" w:rsidRDefault="00533599" w:rsidP="001539F0">
            <w:pPr>
              <w:ind w:left="-108"/>
              <w:jc w:val="center"/>
              <w:rPr>
                <w:rFonts w:ascii="Calibri" w:hAnsi="Calibri"/>
                <w:bCs/>
                <w:color w:val="000000"/>
              </w:rPr>
            </w:pPr>
            <w:r>
              <w:rPr>
                <w:rFonts w:ascii="Calibri" w:hAnsi="Calibri"/>
                <w:bCs/>
                <w:color w:val="000000"/>
              </w:rPr>
              <w:t>1.49</w:t>
            </w:r>
          </w:p>
        </w:tc>
      </w:tr>
      <w:tr w:rsidR="001539F0" w:rsidTr="005A2CE6">
        <w:tc>
          <w:tcPr>
            <w:tcW w:w="2355" w:type="dxa"/>
          </w:tcPr>
          <w:p w:rsidR="001539F0" w:rsidRDefault="001539F0" w:rsidP="001539F0">
            <w:r>
              <w:t xml:space="preserve">Urinary Tract </w:t>
            </w:r>
          </w:p>
        </w:tc>
        <w:tc>
          <w:tcPr>
            <w:tcW w:w="1480" w:type="dxa"/>
            <w:shd w:val="clear" w:color="auto" w:fill="D9D9D9" w:themeFill="background1" w:themeFillShade="D9"/>
          </w:tcPr>
          <w:p w:rsidR="001539F0" w:rsidRPr="00D67D1C" w:rsidRDefault="001539F0" w:rsidP="001539F0">
            <w:pPr>
              <w:jc w:val="center"/>
            </w:pPr>
            <w:r w:rsidRPr="00D67D1C">
              <w:t>0.27</w:t>
            </w:r>
          </w:p>
        </w:tc>
        <w:tc>
          <w:tcPr>
            <w:tcW w:w="1480" w:type="dxa"/>
          </w:tcPr>
          <w:p w:rsidR="001539F0" w:rsidRPr="00C56AA0" w:rsidRDefault="001539F0" w:rsidP="001539F0">
            <w:r w:rsidRPr="00C56AA0">
              <w:t>1.04</w:t>
            </w:r>
          </w:p>
        </w:tc>
        <w:tc>
          <w:tcPr>
            <w:tcW w:w="1480" w:type="dxa"/>
          </w:tcPr>
          <w:p w:rsidR="001539F0" w:rsidRPr="00C56AA0" w:rsidRDefault="001539F0" w:rsidP="001539F0">
            <w:r w:rsidRPr="00C56AA0">
              <w:t>0.61</w:t>
            </w:r>
          </w:p>
        </w:tc>
        <w:tc>
          <w:tcPr>
            <w:tcW w:w="1390" w:type="dxa"/>
          </w:tcPr>
          <w:p w:rsidR="001539F0" w:rsidRPr="00C56AA0" w:rsidRDefault="001539F0" w:rsidP="001539F0">
            <w:r w:rsidRPr="00C56AA0">
              <w:t>0.62</w:t>
            </w:r>
          </w:p>
        </w:tc>
        <w:tc>
          <w:tcPr>
            <w:tcW w:w="1390" w:type="dxa"/>
          </w:tcPr>
          <w:p w:rsidR="001539F0" w:rsidRDefault="00533599" w:rsidP="001539F0">
            <w:pPr>
              <w:ind w:left="-108"/>
              <w:jc w:val="center"/>
              <w:rPr>
                <w:rFonts w:ascii="Calibri" w:hAnsi="Calibri"/>
                <w:bCs/>
                <w:color w:val="000000"/>
              </w:rPr>
            </w:pPr>
            <w:r>
              <w:rPr>
                <w:rFonts w:ascii="Calibri" w:hAnsi="Calibri"/>
                <w:bCs/>
                <w:color w:val="000000"/>
              </w:rPr>
              <w:t>1.62</w:t>
            </w:r>
          </w:p>
        </w:tc>
      </w:tr>
      <w:tr w:rsidR="001539F0" w:rsidTr="005A2CE6">
        <w:tc>
          <w:tcPr>
            <w:tcW w:w="2355" w:type="dxa"/>
          </w:tcPr>
          <w:p w:rsidR="001539F0" w:rsidRDefault="001539F0" w:rsidP="001539F0">
            <w:r>
              <w:t xml:space="preserve">Skin </w:t>
            </w:r>
          </w:p>
        </w:tc>
        <w:tc>
          <w:tcPr>
            <w:tcW w:w="1480" w:type="dxa"/>
            <w:shd w:val="clear" w:color="auto" w:fill="D9D9D9" w:themeFill="background1" w:themeFillShade="D9"/>
          </w:tcPr>
          <w:p w:rsidR="001539F0" w:rsidRPr="00D67D1C" w:rsidRDefault="001539F0" w:rsidP="001539F0">
            <w:pPr>
              <w:jc w:val="center"/>
            </w:pPr>
            <w:r w:rsidRPr="00D67D1C">
              <w:t>0.27</w:t>
            </w:r>
          </w:p>
        </w:tc>
        <w:tc>
          <w:tcPr>
            <w:tcW w:w="1480" w:type="dxa"/>
          </w:tcPr>
          <w:p w:rsidR="001539F0" w:rsidRPr="00C56AA0" w:rsidRDefault="001539F0" w:rsidP="001539F0">
            <w:r w:rsidRPr="00C56AA0">
              <w:t>0.13</w:t>
            </w:r>
          </w:p>
        </w:tc>
        <w:tc>
          <w:tcPr>
            <w:tcW w:w="1480" w:type="dxa"/>
          </w:tcPr>
          <w:p w:rsidR="001539F0" w:rsidRPr="00C56AA0" w:rsidRDefault="001539F0" w:rsidP="001539F0">
            <w:r w:rsidRPr="00C56AA0">
              <w:t>0.24</w:t>
            </w:r>
          </w:p>
        </w:tc>
        <w:tc>
          <w:tcPr>
            <w:tcW w:w="1390" w:type="dxa"/>
          </w:tcPr>
          <w:p w:rsidR="001539F0" w:rsidRPr="00C56AA0" w:rsidRDefault="001539F0" w:rsidP="001539F0">
            <w:r w:rsidRPr="00C56AA0">
              <w:t>0.87</w:t>
            </w:r>
          </w:p>
        </w:tc>
        <w:tc>
          <w:tcPr>
            <w:tcW w:w="1390" w:type="dxa"/>
          </w:tcPr>
          <w:p w:rsidR="001539F0" w:rsidRDefault="00533599" w:rsidP="001539F0">
            <w:pPr>
              <w:ind w:left="-108"/>
              <w:jc w:val="center"/>
              <w:rPr>
                <w:rFonts w:ascii="Calibri" w:hAnsi="Calibri"/>
                <w:bCs/>
                <w:color w:val="000000"/>
              </w:rPr>
            </w:pPr>
            <w:r>
              <w:rPr>
                <w:rFonts w:ascii="Calibri" w:hAnsi="Calibri"/>
                <w:bCs/>
                <w:color w:val="000000"/>
              </w:rPr>
              <w:t>1.49</w:t>
            </w:r>
          </w:p>
        </w:tc>
      </w:tr>
      <w:tr w:rsidR="001539F0" w:rsidTr="005A2CE6">
        <w:tc>
          <w:tcPr>
            <w:tcW w:w="2355" w:type="dxa"/>
          </w:tcPr>
          <w:p w:rsidR="001539F0" w:rsidRDefault="001539F0" w:rsidP="001539F0">
            <w:r>
              <w:t xml:space="preserve">Gastrointestinal </w:t>
            </w:r>
          </w:p>
        </w:tc>
        <w:tc>
          <w:tcPr>
            <w:tcW w:w="1480" w:type="dxa"/>
            <w:shd w:val="clear" w:color="auto" w:fill="D9D9D9" w:themeFill="background1" w:themeFillShade="D9"/>
          </w:tcPr>
          <w:p w:rsidR="001539F0" w:rsidRPr="00D67D1C" w:rsidRDefault="001539F0" w:rsidP="001539F0">
            <w:pPr>
              <w:jc w:val="center"/>
            </w:pPr>
            <w:r w:rsidRPr="00D67D1C">
              <w:t>0</w:t>
            </w:r>
          </w:p>
        </w:tc>
        <w:tc>
          <w:tcPr>
            <w:tcW w:w="1480" w:type="dxa"/>
          </w:tcPr>
          <w:p w:rsidR="001539F0" w:rsidRPr="00C56AA0" w:rsidRDefault="001539F0" w:rsidP="001539F0">
            <w:r w:rsidRPr="00C56AA0">
              <w:t>0</w:t>
            </w:r>
          </w:p>
        </w:tc>
        <w:tc>
          <w:tcPr>
            <w:tcW w:w="1480" w:type="dxa"/>
          </w:tcPr>
          <w:p w:rsidR="001539F0" w:rsidRPr="00C56AA0" w:rsidRDefault="001539F0" w:rsidP="001539F0">
            <w:r w:rsidRPr="00C56AA0">
              <w:t>0.24</w:t>
            </w:r>
          </w:p>
        </w:tc>
        <w:tc>
          <w:tcPr>
            <w:tcW w:w="1390" w:type="dxa"/>
          </w:tcPr>
          <w:p w:rsidR="001539F0" w:rsidRPr="00C56AA0" w:rsidRDefault="001539F0" w:rsidP="001539F0">
            <w:r w:rsidRPr="00C56AA0">
              <w:t>0</w:t>
            </w:r>
          </w:p>
        </w:tc>
        <w:tc>
          <w:tcPr>
            <w:tcW w:w="1390" w:type="dxa"/>
          </w:tcPr>
          <w:p w:rsidR="001539F0" w:rsidRDefault="00533599" w:rsidP="001539F0">
            <w:pPr>
              <w:ind w:left="-108"/>
              <w:jc w:val="center"/>
              <w:rPr>
                <w:rFonts w:ascii="Calibri" w:hAnsi="Calibri"/>
                <w:bCs/>
                <w:color w:val="000000"/>
              </w:rPr>
            </w:pPr>
            <w:r>
              <w:rPr>
                <w:rFonts w:ascii="Calibri" w:hAnsi="Calibri"/>
                <w:bCs/>
                <w:color w:val="000000"/>
              </w:rPr>
              <w:t>0.12</w:t>
            </w:r>
          </w:p>
        </w:tc>
      </w:tr>
      <w:tr w:rsidR="001539F0" w:rsidTr="002A3CF7">
        <w:tc>
          <w:tcPr>
            <w:tcW w:w="2355" w:type="dxa"/>
          </w:tcPr>
          <w:p w:rsidR="001539F0" w:rsidRDefault="001539F0" w:rsidP="001539F0">
            <w:r>
              <w:t>Other</w:t>
            </w:r>
          </w:p>
        </w:tc>
        <w:tc>
          <w:tcPr>
            <w:tcW w:w="1480" w:type="dxa"/>
            <w:shd w:val="clear" w:color="auto" w:fill="D9D9D9" w:themeFill="background1" w:themeFillShade="D9"/>
          </w:tcPr>
          <w:p w:rsidR="001539F0" w:rsidRPr="00D67D1C" w:rsidRDefault="001539F0" w:rsidP="001539F0">
            <w:pPr>
              <w:jc w:val="center"/>
            </w:pPr>
            <w:r w:rsidRPr="00D67D1C">
              <w:t>0.41</w:t>
            </w:r>
          </w:p>
        </w:tc>
        <w:tc>
          <w:tcPr>
            <w:tcW w:w="1480" w:type="dxa"/>
          </w:tcPr>
          <w:p w:rsidR="001539F0" w:rsidRPr="00C56AA0" w:rsidRDefault="001539F0" w:rsidP="001539F0">
            <w:r w:rsidRPr="00C56AA0">
              <w:t>0.78</w:t>
            </w:r>
          </w:p>
        </w:tc>
        <w:tc>
          <w:tcPr>
            <w:tcW w:w="1480" w:type="dxa"/>
          </w:tcPr>
          <w:p w:rsidR="001539F0" w:rsidRPr="00C56AA0" w:rsidRDefault="001539F0" w:rsidP="001539F0">
            <w:r w:rsidRPr="00C56AA0">
              <w:t>0.12</w:t>
            </w:r>
          </w:p>
        </w:tc>
        <w:tc>
          <w:tcPr>
            <w:tcW w:w="1390" w:type="dxa"/>
          </w:tcPr>
          <w:p w:rsidR="001539F0" w:rsidRPr="00C56AA0" w:rsidRDefault="001539F0" w:rsidP="001539F0">
            <w:r w:rsidRPr="00C56AA0">
              <w:t>0.12</w:t>
            </w:r>
          </w:p>
        </w:tc>
        <w:tc>
          <w:tcPr>
            <w:tcW w:w="1390" w:type="dxa"/>
          </w:tcPr>
          <w:p w:rsidR="001539F0" w:rsidRDefault="00533599" w:rsidP="001539F0">
            <w:pPr>
              <w:ind w:left="-108"/>
              <w:jc w:val="center"/>
            </w:pPr>
            <w:r>
              <w:t>0.62</w:t>
            </w:r>
          </w:p>
        </w:tc>
      </w:tr>
      <w:tr w:rsidR="001539F0" w:rsidTr="005B5C4A">
        <w:tc>
          <w:tcPr>
            <w:tcW w:w="2355" w:type="dxa"/>
          </w:tcPr>
          <w:p w:rsidR="001539F0" w:rsidRDefault="001539F0" w:rsidP="001539F0"/>
        </w:tc>
        <w:tc>
          <w:tcPr>
            <w:tcW w:w="1480" w:type="dxa"/>
            <w:shd w:val="clear" w:color="auto" w:fill="D9D9D9" w:themeFill="background1" w:themeFillShade="D9"/>
          </w:tcPr>
          <w:p w:rsidR="001539F0" w:rsidRPr="00D67D1C" w:rsidRDefault="001539F0" w:rsidP="001539F0">
            <w:pPr>
              <w:jc w:val="center"/>
            </w:pPr>
          </w:p>
        </w:tc>
        <w:tc>
          <w:tcPr>
            <w:tcW w:w="1480" w:type="dxa"/>
          </w:tcPr>
          <w:p w:rsidR="001539F0" w:rsidRPr="00C56AA0" w:rsidRDefault="001539F0" w:rsidP="001539F0"/>
        </w:tc>
        <w:tc>
          <w:tcPr>
            <w:tcW w:w="1480" w:type="dxa"/>
          </w:tcPr>
          <w:p w:rsidR="001539F0" w:rsidRPr="00C56AA0" w:rsidRDefault="001539F0" w:rsidP="001539F0"/>
        </w:tc>
        <w:tc>
          <w:tcPr>
            <w:tcW w:w="1390" w:type="dxa"/>
          </w:tcPr>
          <w:p w:rsidR="001539F0" w:rsidRPr="00C56AA0" w:rsidRDefault="001539F0" w:rsidP="001539F0"/>
        </w:tc>
        <w:tc>
          <w:tcPr>
            <w:tcW w:w="1390" w:type="dxa"/>
          </w:tcPr>
          <w:p w:rsidR="001539F0" w:rsidRDefault="001539F0" w:rsidP="001539F0">
            <w:pPr>
              <w:jc w:val="center"/>
            </w:pPr>
          </w:p>
        </w:tc>
      </w:tr>
      <w:tr w:rsidR="001539F0" w:rsidTr="005B5C4A">
        <w:tc>
          <w:tcPr>
            <w:tcW w:w="2355" w:type="dxa"/>
          </w:tcPr>
          <w:p w:rsidR="001539F0" w:rsidRDefault="001539F0" w:rsidP="001539F0">
            <w:r>
              <w:t xml:space="preserve">Total </w:t>
            </w:r>
          </w:p>
        </w:tc>
        <w:tc>
          <w:tcPr>
            <w:tcW w:w="1480" w:type="dxa"/>
            <w:shd w:val="clear" w:color="auto" w:fill="D9D9D9" w:themeFill="background1" w:themeFillShade="D9"/>
          </w:tcPr>
          <w:p w:rsidR="001539F0" w:rsidRDefault="001539F0" w:rsidP="001539F0">
            <w:pPr>
              <w:jc w:val="center"/>
            </w:pPr>
            <w:r w:rsidRPr="00D67D1C">
              <w:t>9.72</w:t>
            </w:r>
          </w:p>
        </w:tc>
        <w:tc>
          <w:tcPr>
            <w:tcW w:w="1480" w:type="dxa"/>
          </w:tcPr>
          <w:p w:rsidR="001539F0" w:rsidRPr="00C56AA0" w:rsidRDefault="001539F0" w:rsidP="001539F0">
            <w:r w:rsidRPr="00C56AA0">
              <w:t>2.08</w:t>
            </w:r>
          </w:p>
        </w:tc>
        <w:tc>
          <w:tcPr>
            <w:tcW w:w="1480" w:type="dxa"/>
          </w:tcPr>
          <w:p w:rsidR="001539F0" w:rsidRPr="00C56AA0" w:rsidRDefault="001539F0" w:rsidP="001539F0">
            <w:r w:rsidRPr="00C56AA0">
              <w:t>1.45</w:t>
            </w:r>
          </w:p>
        </w:tc>
        <w:tc>
          <w:tcPr>
            <w:tcW w:w="1390" w:type="dxa"/>
          </w:tcPr>
          <w:p w:rsidR="001539F0" w:rsidRDefault="001539F0" w:rsidP="001539F0">
            <w:r w:rsidRPr="00C56AA0">
              <w:t>2.23</w:t>
            </w:r>
          </w:p>
        </w:tc>
        <w:tc>
          <w:tcPr>
            <w:tcW w:w="1390" w:type="dxa"/>
          </w:tcPr>
          <w:p w:rsidR="001539F0" w:rsidRDefault="00533599" w:rsidP="001539F0">
            <w:pPr>
              <w:ind w:left="-108"/>
              <w:jc w:val="center"/>
            </w:pPr>
            <w:r>
              <w:t>5.34</w:t>
            </w:r>
          </w:p>
        </w:tc>
      </w:tr>
    </w:tbl>
    <w:p w:rsidR="00D70818" w:rsidRDefault="00B96435" w:rsidP="00B96435">
      <w:r>
        <w:t>*61 are COVID infections</w:t>
      </w:r>
    </w:p>
    <w:p w:rsidR="00E964A8" w:rsidRDefault="00E964A8" w:rsidP="00D70818"/>
    <w:p w:rsidR="00D70818" w:rsidRDefault="00E964A8" w:rsidP="00D70818">
      <w:r w:rsidRPr="00E964A8">
        <w:rPr>
          <w:noProof/>
          <w:bdr w:val="single" w:sz="6" w:space="0" w:color="auto"/>
          <w:lang w:val="en-CA" w:eastAsia="en-CA"/>
        </w:rPr>
        <w:drawing>
          <wp:inline distT="0" distB="0" distL="0" distR="0">
            <wp:extent cx="6099810" cy="3135085"/>
            <wp:effectExtent l="0" t="0" r="15240"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0818" w:rsidRDefault="00D70818" w:rsidP="00D70818"/>
    <w:p w:rsidR="00D70818" w:rsidRDefault="00D70818" w:rsidP="00D70818"/>
    <w:p w:rsidR="00D70818" w:rsidRDefault="00D70818" w:rsidP="00D70818">
      <w:r>
        <w:rPr>
          <w:noProof/>
          <w:lang w:val="en-CA" w:eastAsia="en-CA"/>
        </w:rPr>
        <w:drawing>
          <wp:inline distT="0" distB="0" distL="0" distR="0">
            <wp:extent cx="6112873" cy="3317875"/>
            <wp:effectExtent l="0" t="0" r="2540" b="158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0818" w:rsidRDefault="00D70818" w:rsidP="00D70818"/>
    <w:p w:rsidR="00D70818" w:rsidRDefault="00D70818" w:rsidP="00D70818">
      <w:pPr>
        <w:rPr>
          <w:b/>
        </w:rPr>
      </w:pPr>
      <w:r w:rsidRPr="00A72ADF">
        <w:rPr>
          <w:b/>
        </w:rPr>
        <w:t>Comments:</w:t>
      </w:r>
    </w:p>
    <w:p w:rsidR="00D70818" w:rsidRPr="00BD20D8" w:rsidRDefault="00D70818" w:rsidP="00D70818">
      <w:pPr>
        <w:rPr>
          <w:b/>
          <w:sz w:val="16"/>
          <w:szCs w:val="16"/>
        </w:rPr>
      </w:pPr>
    </w:p>
    <w:p w:rsidR="0062327A" w:rsidRDefault="00824EE2" w:rsidP="00D70818">
      <w:r>
        <w:t>The tota</w:t>
      </w:r>
      <w:r w:rsidR="000844CD">
        <w:t xml:space="preserve">l </w:t>
      </w:r>
      <w:r w:rsidR="00B96435">
        <w:t>number of infections for the 4th</w:t>
      </w:r>
      <w:r>
        <w:t xml:space="preserve"> quarter </w:t>
      </w:r>
      <w:r w:rsidR="00F92D1D">
        <w:t>(</w:t>
      </w:r>
      <w:r w:rsidR="006149A4">
        <w:t>43</w:t>
      </w:r>
      <w:r w:rsidR="00F92D1D">
        <w:t>)</w:t>
      </w:r>
      <w:r w:rsidR="001253A1">
        <w:t xml:space="preserve"> shows a</w:t>
      </w:r>
      <w:r w:rsidR="00C532F8">
        <w:t xml:space="preserve"> </w:t>
      </w:r>
      <w:r w:rsidR="00B96435">
        <w:t xml:space="preserve">significant increase </w:t>
      </w:r>
      <w:r w:rsidR="00990981">
        <w:t xml:space="preserve">over </w:t>
      </w:r>
      <w:r w:rsidR="007552D3">
        <w:t>the last quarter</w:t>
      </w:r>
      <w:r w:rsidR="006149A4">
        <w:t xml:space="preserve"> (18</w:t>
      </w:r>
      <w:r w:rsidR="007552D3">
        <w:t xml:space="preserve">) and </w:t>
      </w:r>
      <w:r w:rsidR="000E0511">
        <w:t xml:space="preserve">a decrease when compared to the </w:t>
      </w:r>
      <w:r w:rsidR="002673C2">
        <w:t xml:space="preserve">same period of last year at </w:t>
      </w:r>
      <w:r w:rsidR="00F92D1D">
        <w:t>(</w:t>
      </w:r>
      <w:r w:rsidR="000E0511">
        <w:t>71</w:t>
      </w:r>
      <w:r w:rsidR="00F92D1D">
        <w:t>)</w:t>
      </w:r>
      <w:r w:rsidR="0062327A">
        <w:t>. The team is</w:t>
      </w:r>
      <w:r w:rsidR="006149A4">
        <w:t xml:space="preserve"> evaluating the cause of this increase to assess if there is a care practice contributing to an incr</w:t>
      </w:r>
      <w:r w:rsidR="0062327A">
        <w:t>ease. It was noted that a post antibiotic assessment wasn’t always being completed to ensure treatment had been effective, resulting in a gap. Several UTI and skin infections from this quarter were for the same resident but captured as separate because they required three different types of antibiotic treatment prior to resolving.</w:t>
      </w:r>
      <w:r w:rsidR="006149A4">
        <w:t xml:space="preserve"> </w:t>
      </w:r>
    </w:p>
    <w:p w:rsidR="0062327A" w:rsidRDefault="0062327A" w:rsidP="00D70818"/>
    <w:p w:rsidR="006149A4" w:rsidRDefault="006149A4" w:rsidP="00D70818">
      <w:r>
        <w:t xml:space="preserve">The end of this quarter saw the creation of a new 1 year term position for dedicated support of an IPAC Specialist. This position will be paying close attention to our IPAC practices, infection surveillance, monitoring trends, and providing targeted staff education. </w:t>
      </w:r>
      <w:r w:rsidR="0062327A">
        <w:t xml:space="preserve">Following a review of the quarterly data a meeting was held with the registered supervisory staff to review a new infection tracking tool. </w:t>
      </w:r>
      <w:r>
        <w:t xml:space="preserve">Over the next quarter we will be working to implement the new PCC Infection control module. This will house all infection data within the electronic health record and allow for better reporting and monitoring. </w:t>
      </w:r>
    </w:p>
    <w:p w:rsidR="006149A4" w:rsidRDefault="006149A4" w:rsidP="00D70818"/>
    <w:p w:rsidR="000E0511" w:rsidRDefault="006149A4" w:rsidP="00D70818">
      <w:r>
        <w:t xml:space="preserve">This </w:t>
      </w:r>
      <w:r w:rsidR="00801786">
        <w:t>quarter’s</w:t>
      </w:r>
      <w:r>
        <w:t xml:space="preserve"> infections were located on the wings respectively: </w:t>
      </w:r>
    </w:p>
    <w:p w:rsidR="000E0511" w:rsidRPr="00D36E35" w:rsidRDefault="000E0511" w:rsidP="00D70818">
      <w:r>
        <w:t>A -16, B -5, C-8, D-9, E-5</w:t>
      </w:r>
    </w:p>
    <w:p w:rsidR="00D36E35" w:rsidRDefault="00D36E35" w:rsidP="00D70818">
      <w:pPr>
        <w:rPr>
          <w:b/>
        </w:rPr>
      </w:pPr>
    </w:p>
    <w:p w:rsidR="00A335D1" w:rsidRDefault="00D70818" w:rsidP="00D70818">
      <w:pPr>
        <w:rPr>
          <w:b/>
        </w:rPr>
      </w:pPr>
      <w:r>
        <w:rPr>
          <w:b/>
        </w:rPr>
        <w:t>Respiratory Infections</w:t>
      </w:r>
      <w:r w:rsidR="008D5EA6">
        <w:rPr>
          <w:b/>
        </w:rPr>
        <w:t xml:space="preserve"> </w:t>
      </w:r>
    </w:p>
    <w:p w:rsidR="00B96435" w:rsidRDefault="00B96435" w:rsidP="00D70818">
      <w:pPr>
        <w:rPr>
          <w:b/>
        </w:rPr>
      </w:pPr>
    </w:p>
    <w:p w:rsidR="00DA152B" w:rsidRDefault="00533599" w:rsidP="00D70818">
      <w:r>
        <w:t>T</w:t>
      </w:r>
      <w:r w:rsidR="00C532F8">
        <w:t>his qua</w:t>
      </w:r>
      <w:r>
        <w:t xml:space="preserve">rter Shoreham experienced </w:t>
      </w:r>
      <w:r w:rsidR="008537FE">
        <w:t>a</w:t>
      </w:r>
      <w:r w:rsidR="00B96435">
        <w:t>n</w:t>
      </w:r>
      <w:r w:rsidR="00F12944">
        <w:t xml:space="preserve"> increase</w:t>
      </w:r>
      <w:r>
        <w:t xml:space="preserve"> in covid activity. There were 12 respiratory infections this quarter which was an increase from the 3</w:t>
      </w:r>
      <w:r w:rsidRPr="00533599">
        <w:rPr>
          <w:vertAlign w:val="superscript"/>
        </w:rPr>
        <w:t>rd</w:t>
      </w:r>
      <w:r>
        <w:t xml:space="preserve"> quarter (5)</w:t>
      </w:r>
      <w:r w:rsidR="007552D3">
        <w:t xml:space="preserve"> and </w:t>
      </w:r>
      <w:r>
        <w:t xml:space="preserve">a decrease from the same </w:t>
      </w:r>
      <w:r w:rsidR="00C532F8">
        <w:t>period of last year</w:t>
      </w:r>
      <w:r w:rsidR="007552D3">
        <w:t xml:space="preserve"> (</w:t>
      </w:r>
      <w:r>
        <w:t>64</w:t>
      </w:r>
      <w:r w:rsidR="007552D3">
        <w:t>)</w:t>
      </w:r>
      <w:r w:rsidR="00F12944">
        <w:t xml:space="preserve">. </w:t>
      </w:r>
    </w:p>
    <w:p w:rsidR="00A82FB4" w:rsidRDefault="00A82FB4" w:rsidP="00D70818"/>
    <w:p w:rsidR="00D70818" w:rsidRPr="00610D47" w:rsidRDefault="00D70818" w:rsidP="00D70818">
      <w:pPr>
        <w:rPr>
          <w:b/>
        </w:rPr>
      </w:pPr>
      <w:r w:rsidRPr="00610D47">
        <w:rPr>
          <w:b/>
        </w:rPr>
        <w:t>Urinary Tract Infections</w:t>
      </w:r>
    </w:p>
    <w:p w:rsidR="00A55223" w:rsidRDefault="00D70818" w:rsidP="00D70818">
      <w:r>
        <w:t>The number of re</w:t>
      </w:r>
      <w:r w:rsidR="00470322">
        <w:t>ported Urinary Tract Infections (</w:t>
      </w:r>
      <w:r w:rsidR="009A20E2">
        <w:t>13</w:t>
      </w:r>
      <w:r w:rsidR="00470322">
        <w:t xml:space="preserve">) </w:t>
      </w:r>
      <w:r w:rsidR="009A20E2">
        <w:t>significantly increased</w:t>
      </w:r>
      <w:r w:rsidR="00DA152B">
        <w:t xml:space="preserve"> from</w:t>
      </w:r>
      <w:r w:rsidR="008A4D31">
        <w:t xml:space="preserve"> the last </w:t>
      </w:r>
      <w:r w:rsidR="009A20E2">
        <w:t>year (2</w:t>
      </w:r>
      <w:r w:rsidR="00B96435">
        <w:t>) and the 3rd</w:t>
      </w:r>
      <w:r w:rsidR="00A55223">
        <w:t xml:space="preserve"> q</w:t>
      </w:r>
      <w:r w:rsidR="008A4D31">
        <w:t>uarter</w:t>
      </w:r>
      <w:r w:rsidR="00470322">
        <w:t xml:space="preserve"> (</w:t>
      </w:r>
      <w:r w:rsidR="009A20E2">
        <w:t>5</w:t>
      </w:r>
      <w:r w:rsidR="00470322">
        <w:t>)</w:t>
      </w:r>
      <w:r w:rsidR="00DA152B">
        <w:t>.</w:t>
      </w:r>
      <w:r w:rsidR="0019297B">
        <w:t xml:space="preserve"> </w:t>
      </w:r>
      <w:r w:rsidR="00A55223">
        <w:t>All residents were treated in house and symptoms resolved.</w:t>
      </w:r>
      <w:r w:rsidR="009A20E2">
        <w:t xml:space="preserve"> </w:t>
      </w:r>
      <w:r w:rsidR="0062327A">
        <w:t xml:space="preserve">There is a resident who has known recurring UTIs which made up 3 of the occurrences and requires prophylactic antibiotics. Another resident accounted for several of the infections which ultimately required IV antibiotics. </w:t>
      </w:r>
    </w:p>
    <w:p w:rsidR="006149A4" w:rsidRDefault="006149A4" w:rsidP="00D70818"/>
    <w:p w:rsidR="00D70818" w:rsidRDefault="00D70818" w:rsidP="00D70818">
      <w:pPr>
        <w:rPr>
          <w:b/>
        </w:rPr>
      </w:pPr>
      <w:r w:rsidRPr="00610D47">
        <w:rPr>
          <w:b/>
        </w:rPr>
        <w:t>Skin Infections</w:t>
      </w:r>
    </w:p>
    <w:p w:rsidR="007A32CB" w:rsidRDefault="00D70818" w:rsidP="00D70818">
      <w:r>
        <w:t>The</w:t>
      </w:r>
      <w:r w:rsidR="00A55223">
        <w:t xml:space="preserve"> number of skin infections (</w:t>
      </w:r>
      <w:r w:rsidR="009A20E2">
        <w:t>1</w:t>
      </w:r>
      <w:r w:rsidR="00A55223">
        <w:t>2) have</w:t>
      </w:r>
      <w:r w:rsidR="009A20E2">
        <w:t xml:space="preserve"> significantly increased </w:t>
      </w:r>
      <w:r w:rsidR="007A32CB">
        <w:t xml:space="preserve">from the last quarter </w:t>
      </w:r>
      <w:r w:rsidR="009A20E2">
        <w:t xml:space="preserve">(7) </w:t>
      </w:r>
      <w:r w:rsidR="00F12944">
        <w:t>and</w:t>
      </w:r>
      <w:r w:rsidR="00B96435">
        <w:t xml:space="preserve"> </w:t>
      </w:r>
      <w:r w:rsidR="007552D3">
        <w:t xml:space="preserve">from </w:t>
      </w:r>
      <w:r w:rsidR="00F12944">
        <w:t>the same period of last year</w:t>
      </w:r>
      <w:r w:rsidR="009A20E2">
        <w:t xml:space="preserve"> (2</w:t>
      </w:r>
      <w:r w:rsidR="00B96435">
        <w:t>)</w:t>
      </w:r>
      <w:r w:rsidR="00F12944">
        <w:t>.</w:t>
      </w:r>
      <w:r w:rsidR="00C85EA7">
        <w:t xml:space="preserve"> We have had a couple </w:t>
      </w:r>
      <w:r w:rsidR="0062327A">
        <w:t xml:space="preserve">wounds which have required </w:t>
      </w:r>
      <w:r w:rsidR="00C85EA7">
        <w:t xml:space="preserve">several </w:t>
      </w:r>
      <w:r w:rsidR="0062327A">
        <w:t>antibiotic treatment</w:t>
      </w:r>
      <w:r w:rsidR="00C85EA7">
        <w:t>s</w:t>
      </w:r>
      <w:r w:rsidR="0062327A">
        <w:t xml:space="preserve">. Going forward we plan to separate Skin infections and wound infections. There was one case of cellulitis which required IV treatment. </w:t>
      </w:r>
    </w:p>
    <w:p w:rsidR="00801786" w:rsidRDefault="00801786" w:rsidP="00D70818"/>
    <w:p w:rsidR="00D70818" w:rsidRPr="00610D47" w:rsidRDefault="00D70818" w:rsidP="00D70818">
      <w:pPr>
        <w:rPr>
          <w:b/>
        </w:rPr>
      </w:pPr>
      <w:r w:rsidRPr="00610D47">
        <w:rPr>
          <w:b/>
        </w:rPr>
        <w:t>Gastrointestinal Infections</w:t>
      </w:r>
    </w:p>
    <w:p w:rsidR="00D70818" w:rsidRDefault="008537FE" w:rsidP="00D70818">
      <w:r>
        <w:t xml:space="preserve">There was </w:t>
      </w:r>
      <w:r w:rsidR="006149A4">
        <w:t>1</w:t>
      </w:r>
      <w:r>
        <w:t xml:space="preserve"> gastrointestinal infection</w:t>
      </w:r>
      <w:r w:rsidR="00EB2216">
        <w:t>.</w:t>
      </w:r>
      <w:r w:rsidR="00F12944">
        <w:t xml:space="preserve"> </w:t>
      </w:r>
    </w:p>
    <w:p w:rsidR="00D70818" w:rsidRDefault="00D70818" w:rsidP="00D70818"/>
    <w:p w:rsidR="00D70818" w:rsidRDefault="00D70818" w:rsidP="00D70818">
      <w:pPr>
        <w:rPr>
          <w:b/>
        </w:rPr>
      </w:pPr>
      <w:r w:rsidRPr="002D112C">
        <w:rPr>
          <w:b/>
        </w:rPr>
        <w:t>Other Infections</w:t>
      </w:r>
      <w:r>
        <w:rPr>
          <w:b/>
        </w:rPr>
        <w:t xml:space="preserve"> (eye, genitourinary, ear, oral)</w:t>
      </w:r>
    </w:p>
    <w:p w:rsidR="00D70818" w:rsidRDefault="00D70818" w:rsidP="00D70818">
      <w:r>
        <w:t>The</w:t>
      </w:r>
      <w:r w:rsidR="00F12944">
        <w:t>re</w:t>
      </w:r>
      <w:r>
        <w:t xml:space="preserve"> </w:t>
      </w:r>
      <w:r w:rsidR="006149A4">
        <w:t>were 5</w:t>
      </w:r>
      <w:r w:rsidR="00F12944">
        <w:t xml:space="preserve"> other infections for this quarter.</w:t>
      </w:r>
    </w:p>
    <w:p w:rsidR="00801786" w:rsidRDefault="00801786" w:rsidP="00D70818"/>
    <w:p w:rsidR="00B96435" w:rsidRDefault="00B96435" w:rsidP="00D70818"/>
    <w:p w:rsidR="004C3201" w:rsidRPr="00646673" w:rsidRDefault="004C3201" w:rsidP="004C3201">
      <w:pPr>
        <w:rPr>
          <w:rFonts w:ascii="Calibri" w:hAnsi="Calibri"/>
          <w:b/>
        </w:rPr>
      </w:pPr>
      <w:r w:rsidRPr="00027301">
        <w:rPr>
          <w:b/>
          <w:sz w:val="24"/>
        </w:rPr>
        <w:t>4.0</w:t>
      </w:r>
      <w:r>
        <w:rPr>
          <w:b/>
        </w:rPr>
        <w:tab/>
      </w:r>
      <w:r w:rsidRPr="00881F7F">
        <w:rPr>
          <w:b/>
          <w:sz w:val="24"/>
        </w:rPr>
        <w:t xml:space="preserve">Shoreham Village </w:t>
      </w:r>
      <w:r>
        <w:rPr>
          <w:b/>
          <w:sz w:val="24"/>
        </w:rPr>
        <w:t>–</w:t>
      </w:r>
      <w:r w:rsidRPr="00881F7F">
        <w:rPr>
          <w:b/>
          <w:sz w:val="24"/>
        </w:rPr>
        <w:t xml:space="preserve"> </w:t>
      </w:r>
      <w:r>
        <w:rPr>
          <w:b/>
          <w:sz w:val="24"/>
        </w:rPr>
        <w:t>Pressure Injury Summary</w:t>
      </w:r>
      <w:r w:rsidRPr="00881F7F">
        <w:rPr>
          <w:b/>
          <w:sz w:val="24"/>
        </w:rPr>
        <w:t xml:space="preserve"> – Q</w:t>
      </w:r>
      <w:r>
        <w:rPr>
          <w:b/>
          <w:sz w:val="24"/>
        </w:rPr>
        <w:t>4</w:t>
      </w:r>
      <w:r w:rsidRPr="00881F7F">
        <w:rPr>
          <w:b/>
          <w:sz w:val="24"/>
        </w:rPr>
        <w:t xml:space="preserve"> </w:t>
      </w:r>
      <w:r>
        <w:rPr>
          <w:b/>
          <w:sz w:val="24"/>
        </w:rPr>
        <w:t>Jan</w:t>
      </w:r>
      <w:r w:rsidRPr="00881F7F">
        <w:rPr>
          <w:b/>
          <w:sz w:val="24"/>
        </w:rPr>
        <w:t xml:space="preserve"> – </w:t>
      </w:r>
      <w:r w:rsidR="00260D86">
        <w:rPr>
          <w:b/>
          <w:sz w:val="24"/>
        </w:rPr>
        <w:t>March 2022/23</w:t>
      </w:r>
    </w:p>
    <w:p w:rsidR="004C3201" w:rsidRDefault="004C3201" w:rsidP="00D70818"/>
    <w:p w:rsidR="004C3201" w:rsidRDefault="004C3201" w:rsidP="00D70818">
      <w:r>
        <w:t xml:space="preserve">The Provincial Wound Care Program, overseen by Health Association of NS (HANS) collects data monthly through a submission to the Department of Seniors &amp; Long Term Care (DSLTC). </w:t>
      </w:r>
      <w:r w:rsidR="003F153B">
        <w:t>Shoreham data is submitted</w:t>
      </w:r>
      <w:r>
        <w:t xml:space="preserve"> on the pressure injuries (PIs) in the facility on a given date, the last day of the month. This data</w:t>
      </w:r>
      <w:r w:rsidR="003F153B">
        <w:t xml:space="preserve"> </w:t>
      </w:r>
      <w:r>
        <w:t xml:space="preserve">captures pressure injuries and does not include other wounds ie skin tears, diabetic wounds. </w:t>
      </w:r>
    </w:p>
    <w:p w:rsidR="004C3201" w:rsidRDefault="004C3201" w:rsidP="00D70818"/>
    <w:p w:rsidR="004C3201" w:rsidRDefault="004C3201" w:rsidP="00D70818"/>
    <w:tbl>
      <w:tblPr>
        <w:tblStyle w:val="TableGrid"/>
        <w:tblW w:w="0" w:type="auto"/>
        <w:tblLook w:val="04A0" w:firstRow="1" w:lastRow="0" w:firstColumn="1" w:lastColumn="0" w:noHBand="0" w:noVBand="1"/>
      </w:tblPr>
      <w:tblGrid>
        <w:gridCol w:w="2547"/>
        <w:gridCol w:w="2353"/>
        <w:gridCol w:w="2450"/>
        <w:gridCol w:w="2450"/>
      </w:tblGrid>
      <w:tr w:rsidR="004C3201" w:rsidTr="00CD599B">
        <w:tc>
          <w:tcPr>
            <w:tcW w:w="2547" w:type="dxa"/>
          </w:tcPr>
          <w:p w:rsidR="004C3201" w:rsidRDefault="004C3201" w:rsidP="00D70818"/>
        </w:tc>
        <w:tc>
          <w:tcPr>
            <w:tcW w:w="2353" w:type="dxa"/>
            <w:shd w:val="clear" w:color="auto" w:fill="D9D9D9" w:themeFill="background1" w:themeFillShade="D9"/>
          </w:tcPr>
          <w:p w:rsidR="004C3201" w:rsidRDefault="004C3201" w:rsidP="004C3201">
            <w:pPr>
              <w:jc w:val="center"/>
            </w:pPr>
            <w:r>
              <w:t>January</w:t>
            </w:r>
          </w:p>
        </w:tc>
        <w:tc>
          <w:tcPr>
            <w:tcW w:w="2450" w:type="dxa"/>
            <w:shd w:val="clear" w:color="auto" w:fill="D9D9D9" w:themeFill="background1" w:themeFillShade="D9"/>
          </w:tcPr>
          <w:p w:rsidR="004C3201" w:rsidRDefault="004C3201" w:rsidP="004C3201">
            <w:pPr>
              <w:jc w:val="center"/>
            </w:pPr>
            <w:r>
              <w:t>February</w:t>
            </w:r>
          </w:p>
        </w:tc>
        <w:tc>
          <w:tcPr>
            <w:tcW w:w="2450" w:type="dxa"/>
            <w:shd w:val="clear" w:color="auto" w:fill="D9D9D9" w:themeFill="background1" w:themeFillShade="D9"/>
          </w:tcPr>
          <w:p w:rsidR="004C3201" w:rsidRDefault="004C3201" w:rsidP="004C3201">
            <w:pPr>
              <w:jc w:val="center"/>
            </w:pPr>
            <w:r>
              <w:t>March</w:t>
            </w:r>
          </w:p>
        </w:tc>
      </w:tr>
      <w:tr w:rsidR="004C3201" w:rsidTr="00CD599B">
        <w:tc>
          <w:tcPr>
            <w:tcW w:w="2547" w:type="dxa"/>
            <w:shd w:val="clear" w:color="auto" w:fill="D9D9D9" w:themeFill="background1" w:themeFillShade="D9"/>
          </w:tcPr>
          <w:p w:rsidR="004C3201" w:rsidRDefault="004C3201" w:rsidP="004C3201">
            <w:r>
              <w:t># of Residents with PIs</w:t>
            </w:r>
          </w:p>
        </w:tc>
        <w:tc>
          <w:tcPr>
            <w:tcW w:w="2353" w:type="dxa"/>
          </w:tcPr>
          <w:p w:rsidR="004C3201" w:rsidRDefault="00CD599B" w:rsidP="00D70818">
            <w:r>
              <w:t>5</w:t>
            </w:r>
          </w:p>
        </w:tc>
        <w:tc>
          <w:tcPr>
            <w:tcW w:w="2450" w:type="dxa"/>
          </w:tcPr>
          <w:p w:rsidR="004C3201" w:rsidRDefault="00CD599B" w:rsidP="00D70818">
            <w:r>
              <w:t>5</w:t>
            </w:r>
          </w:p>
        </w:tc>
        <w:tc>
          <w:tcPr>
            <w:tcW w:w="2450" w:type="dxa"/>
          </w:tcPr>
          <w:p w:rsidR="004C3201" w:rsidRDefault="00CD599B" w:rsidP="00D70818">
            <w:r>
              <w:t>4</w:t>
            </w:r>
          </w:p>
        </w:tc>
      </w:tr>
      <w:tr w:rsidR="004C3201" w:rsidTr="00CD599B">
        <w:tc>
          <w:tcPr>
            <w:tcW w:w="2547" w:type="dxa"/>
            <w:shd w:val="clear" w:color="auto" w:fill="D9D9D9" w:themeFill="background1" w:themeFillShade="D9"/>
          </w:tcPr>
          <w:p w:rsidR="004C3201" w:rsidRDefault="004C3201" w:rsidP="004C3201">
            <w:r>
              <w:t># of Stage 2 PIs</w:t>
            </w:r>
          </w:p>
        </w:tc>
        <w:tc>
          <w:tcPr>
            <w:tcW w:w="2353" w:type="dxa"/>
          </w:tcPr>
          <w:p w:rsidR="004C3201" w:rsidRDefault="00C27EF3" w:rsidP="00D70818">
            <w:r>
              <w:t>3</w:t>
            </w:r>
          </w:p>
        </w:tc>
        <w:tc>
          <w:tcPr>
            <w:tcW w:w="2450" w:type="dxa"/>
          </w:tcPr>
          <w:p w:rsidR="004C3201" w:rsidRDefault="00CD599B" w:rsidP="00D70818">
            <w:r>
              <w:t>1</w:t>
            </w:r>
          </w:p>
        </w:tc>
        <w:tc>
          <w:tcPr>
            <w:tcW w:w="2450" w:type="dxa"/>
          </w:tcPr>
          <w:p w:rsidR="004C3201" w:rsidRDefault="00CD599B" w:rsidP="00D70818">
            <w:r>
              <w:t>1</w:t>
            </w:r>
          </w:p>
        </w:tc>
      </w:tr>
      <w:tr w:rsidR="004C3201" w:rsidTr="00CD599B">
        <w:tc>
          <w:tcPr>
            <w:tcW w:w="2547" w:type="dxa"/>
            <w:shd w:val="clear" w:color="auto" w:fill="D9D9D9" w:themeFill="background1" w:themeFillShade="D9"/>
          </w:tcPr>
          <w:p w:rsidR="004C3201" w:rsidRDefault="004C3201" w:rsidP="004C3201">
            <w:r>
              <w:t># of Stage 3 PIs</w:t>
            </w:r>
          </w:p>
        </w:tc>
        <w:tc>
          <w:tcPr>
            <w:tcW w:w="2353" w:type="dxa"/>
          </w:tcPr>
          <w:p w:rsidR="004C3201" w:rsidRDefault="00CD599B" w:rsidP="00D70818">
            <w:r>
              <w:t>0</w:t>
            </w:r>
          </w:p>
        </w:tc>
        <w:tc>
          <w:tcPr>
            <w:tcW w:w="2450" w:type="dxa"/>
          </w:tcPr>
          <w:p w:rsidR="004C3201" w:rsidRDefault="00CD599B" w:rsidP="00D70818">
            <w:r>
              <w:t>0</w:t>
            </w:r>
          </w:p>
        </w:tc>
        <w:tc>
          <w:tcPr>
            <w:tcW w:w="2450" w:type="dxa"/>
          </w:tcPr>
          <w:p w:rsidR="004C3201" w:rsidRDefault="00CD599B" w:rsidP="00D70818">
            <w:r>
              <w:t>1</w:t>
            </w:r>
          </w:p>
        </w:tc>
      </w:tr>
      <w:tr w:rsidR="004C3201" w:rsidTr="00CD599B">
        <w:tc>
          <w:tcPr>
            <w:tcW w:w="2547" w:type="dxa"/>
            <w:shd w:val="clear" w:color="auto" w:fill="D9D9D9" w:themeFill="background1" w:themeFillShade="D9"/>
          </w:tcPr>
          <w:p w:rsidR="004C3201" w:rsidRDefault="004C3201" w:rsidP="004C3201">
            <w:r>
              <w:t># of Stage 4 PIs</w:t>
            </w:r>
          </w:p>
        </w:tc>
        <w:tc>
          <w:tcPr>
            <w:tcW w:w="2353" w:type="dxa"/>
          </w:tcPr>
          <w:p w:rsidR="004C3201" w:rsidRDefault="00C27EF3" w:rsidP="00D70818">
            <w:r>
              <w:t>1</w:t>
            </w:r>
          </w:p>
        </w:tc>
        <w:tc>
          <w:tcPr>
            <w:tcW w:w="2450" w:type="dxa"/>
          </w:tcPr>
          <w:p w:rsidR="004C3201" w:rsidRDefault="00CD599B" w:rsidP="00D70818">
            <w:r>
              <w:t>1</w:t>
            </w:r>
          </w:p>
        </w:tc>
        <w:tc>
          <w:tcPr>
            <w:tcW w:w="2450" w:type="dxa"/>
          </w:tcPr>
          <w:p w:rsidR="004C3201" w:rsidRDefault="00CD599B" w:rsidP="00D70818">
            <w:r>
              <w:t>2</w:t>
            </w:r>
          </w:p>
        </w:tc>
      </w:tr>
      <w:tr w:rsidR="004C3201" w:rsidTr="00CD599B">
        <w:tc>
          <w:tcPr>
            <w:tcW w:w="2547" w:type="dxa"/>
            <w:shd w:val="clear" w:color="auto" w:fill="D9D9D9" w:themeFill="background1" w:themeFillShade="D9"/>
          </w:tcPr>
          <w:p w:rsidR="004C3201" w:rsidRDefault="004C3201" w:rsidP="004C3201">
            <w:r>
              <w:t># of Unstageable PIs</w:t>
            </w:r>
          </w:p>
        </w:tc>
        <w:tc>
          <w:tcPr>
            <w:tcW w:w="2353" w:type="dxa"/>
          </w:tcPr>
          <w:p w:rsidR="004C3201" w:rsidRDefault="00C27EF3" w:rsidP="00D70818">
            <w:r>
              <w:t>1</w:t>
            </w:r>
          </w:p>
        </w:tc>
        <w:tc>
          <w:tcPr>
            <w:tcW w:w="2450" w:type="dxa"/>
          </w:tcPr>
          <w:p w:rsidR="004C3201" w:rsidRDefault="00CD599B" w:rsidP="00D70818">
            <w:r>
              <w:t>3</w:t>
            </w:r>
          </w:p>
        </w:tc>
        <w:tc>
          <w:tcPr>
            <w:tcW w:w="2450" w:type="dxa"/>
          </w:tcPr>
          <w:p w:rsidR="004C3201" w:rsidRDefault="00CD599B" w:rsidP="00D70818">
            <w:r>
              <w:t>1</w:t>
            </w:r>
          </w:p>
        </w:tc>
      </w:tr>
      <w:tr w:rsidR="004C3201" w:rsidTr="00CD599B">
        <w:tc>
          <w:tcPr>
            <w:tcW w:w="2547" w:type="dxa"/>
            <w:shd w:val="clear" w:color="auto" w:fill="D9D9D9" w:themeFill="background1" w:themeFillShade="D9"/>
          </w:tcPr>
          <w:p w:rsidR="004C3201" w:rsidRDefault="004C3201" w:rsidP="004C3201">
            <w:r>
              <w:t xml:space="preserve"># of </w:t>
            </w:r>
            <w:r w:rsidR="00CD599B">
              <w:t xml:space="preserve">New </w:t>
            </w:r>
            <w:r>
              <w:t>Facility Acquired</w:t>
            </w:r>
            <w:r w:rsidR="00CD599B">
              <w:t xml:space="preserve"> </w:t>
            </w:r>
          </w:p>
        </w:tc>
        <w:tc>
          <w:tcPr>
            <w:tcW w:w="2353" w:type="dxa"/>
          </w:tcPr>
          <w:p w:rsidR="004C3201" w:rsidRDefault="00C27EF3" w:rsidP="00D70818">
            <w:r>
              <w:t>1</w:t>
            </w:r>
          </w:p>
        </w:tc>
        <w:tc>
          <w:tcPr>
            <w:tcW w:w="2450" w:type="dxa"/>
          </w:tcPr>
          <w:p w:rsidR="004C3201" w:rsidRDefault="00CD599B" w:rsidP="00D70818">
            <w:r>
              <w:t>0</w:t>
            </w:r>
          </w:p>
        </w:tc>
        <w:tc>
          <w:tcPr>
            <w:tcW w:w="2450" w:type="dxa"/>
          </w:tcPr>
          <w:p w:rsidR="004C3201" w:rsidRDefault="00CD599B" w:rsidP="00D70818">
            <w:r>
              <w:t>1</w:t>
            </w:r>
          </w:p>
        </w:tc>
      </w:tr>
      <w:tr w:rsidR="004C3201" w:rsidTr="00CD599B">
        <w:tc>
          <w:tcPr>
            <w:tcW w:w="2547" w:type="dxa"/>
            <w:shd w:val="clear" w:color="auto" w:fill="D9D9D9" w:themeFill="background1" w:themeFillShade="D9"/>
          </w:tcPr>
          <w:p w:rsidR="004C3201" w:rsidRPr="004C3201" w:rsidRDefault="004C3201" w:rsidP="004C3201">
            <w:pPr>
              <w:rPr>
                <w:b/>
              </w:rPr>
            </w:pPr>
            <w:r w:rsidRPr="004C3201">
              <w:rPr>
                <w:b/>
              </w:rPr>
              <w:t>TOTAL PIs</w:t>
            </w:r>
          </w:p>
        </w:tc>
        <w:tc>
          <w:tcPr>
            <w:tcW w:w="2353" w:type="dxa"/>
            <w:shd w:val="clear" w:color="auto" w:fill="D9D9D9" w:themeFill="background1" w:themeFillShade="D9"/>
          </w:tcPr>
          <w:p w:rsidR="004C3201" w:rsidRPr="004C3201" w:rsidRDefault="00C27EF3" w:rsidP="00D70818">
            <w:pPr>
              <w:rPr>
                <w:b/>
              </w:rPr>
            </w:pPr>
            <w:r>
              <w:rPr>
                <w:b/>
              </w:rPr>
              <w:t>5</w:t>
            </w:r>
          </w:p>
        </w:tc>
        <w:tc>
          <w:tcPr>
            <w:tcW w:w="2450" w:type="dxa"/>
            <w:shd w:val="clear" w:color="auto" w:fill="D9D9D9" w:themeFill="background1" w:themeFillShade="D9"/>
          </w:tcPr>
          <w:p w:rsidR="004C3201" w:rsidRPr="004C3201" w:rsidRDefault="00CD599B" w:rsidP="00D70818">
            <w:pPr>
              <w:rPr>
                <w:b/>
              </w:rPr>
            </w:pPr>
            <w:r>
              <w:rPr>
                <w:b/>
              </w:rPr>
              <w:t>5</w:t>
            </w:r>
          </w:p>
        </w:tc>
        <w:tc>
          <w:tcPr>
            <w:tcW w:w="2450" w:type="dxa"/>
            <w:shd w:val="clear" w:color="auto" w:fill="D9D9D9" w:themeFill="background1" w:themeFillShade="D9"/>
          </w:tcPr>
          <w:p w:rsidR="004C3201" w:rsidRPr="004C3201" w:rsidRDefault="00CD599B" w:rsidP="00D70818">
            <w:pPr>
              <w:rPr>
                <w:b/>
              </w:rPr>
            </w:pPr>
            <w:r>
              <w:rPr>
                <w:b/>
              </w:rPr>
              <w:t>5</w:t>
            </w:r>
          </w:p>
        </w:tc>
      </w:tr>
    </w:tbl>
    <w:p w:rsidR="00B96435" w:rsidRDefault="00B96435" w:rsidP="00D70818"/>
    <w:p w:rsidR="00B96435" w:rsidRDefault="00B96435" w:rsidP="00D70818"/>
    <w:p w:rsidR="00B96435" w:rsidRDefault="00CD599B" w:rsidP="00D70818">
      <w:pPr>
        <w:rPr>
          <w:b/>
        </w:rPr>
      </w:pPr>
      <w:r>
        <w:rPr>
          <w:b/>
        </w:rPr>
        <w:t>Most of t</w:t>
      </w:r>
      <w:r w:rsidR="001539F0" w:rsidRPr="001539F0">
        <w:rPr>
          <w:b/>
        </w:rPr>
        <w:t>hese are chronic wounds which the team continues to provide skilled care and interventions for. The wound care team has regular monthly meetings or more frequent if required. HANS Wound consultants are involved and supporting the treatment and care of the complex wounds.</w:t>
      </w:r>
    </w:p>
    <w:p w:rsidR="00CD599B" w:rsidRDefault="00CD599B" w:rsidP="00D70818">
      <w:pPr>
        <w:rPr>
          <w:b/>
        </w:rPr>
      </w:pPr>
    </w:p>
    <w:p w:rsidR="00CD599B" w:rsidRDefault="00CD599B" w:rsidP="00D70818">
      <w:pPr>
        <w:rPr>
          <w:b/>
        </w:rPr>
      </w:pPr>
      <w:r>
        <w:rPr>
          <w:b/>
        </w:rPr>
        <w:t>CCAs documents every day and eve</w:t>
      </w:r>
      <w:r w:rsidR="00FC670E">
        <w:rPr>
          <w:b/>
        </w:rPr>
        <w:t xml:space="preserve">ning shift that they have visualized </w:t>
      </w:r>
      <w:r>
        <w:rPr>
          <w:b/>
        </w:rPr>
        <w:t>skin</w:t>
      </w:r>
      <w:r w:rsidR="00FC670E">
        <w:rPr>
          <w:b/>
        </w:rPr>
        <w:t>/pressure points</w:t>
      </w:r>
      <w:r>
        <w:rPr>
          <w:b/>
        </w:rPr>
        <w:t xml:space="preserve"> and there aren’</w:t>
      </w:r>
      <w:r w:rsidR="00FC670E">
        <w:rPr>
          <w:b/>
        </w:rPr>
        <w:t xml:space="preserve">t any skin </w:t>
      </w:r>
      <w:r>
        <w:rPr>
          <w:b/>
        </w:rPr>
        <w:t>integrity concerns. This quarter following the disc</w:t>
      </w:r>
      <w:r w:rsidR="00FC670E">
        <w:rPr>
          <w:b/>
        </w:rPr>
        <w:t>overy of a</w:t>
      </w:r>
      <w:r>
        <w:rPr>
          <w:b/>
        </w:rPr>
        <w:t xml:space="preserve"> pressure wound and falsified </w:t>
      </w:r>
      <w:r w:rsidR="00FC670E">
        <w:rPr>
          <w:b/>
        </w:rPr>
        <w:t xml:space="preserve">CCA </w:t>
      </w:r>
      <w:r>
        <w:rPr>
          <w:b/>
        </w:rPr>
        <w:t xml:space="preserve">documentation the RNs/LPNs completed additional head-to-toe skin assessments on all residents. </w:t>
      </w:r>
    </w:p>
    <w:p w:rsidR="00CD599B" w:rsidRDefault="00CD599B" w:rsidP="00D70818">
      <w:pPr>
        <w:rPr>
          <w:b/>
        </w:rPr>
      </w:pPr>
    </w:p>
    <w:p w:rsidR="00CD599B" w:rsidRPr="001539F0" w:rsidRDefault="00CD599B" w:rsidP="00D70818">
      <w:pPr>
        <w:rPr>
          <w:b/>
        </w:rPr>
      </w:pPr>
      <w:r>
        <w:rPr>
          <w:b/>
        </w:rPr>
        <w:t xml:space="preserve">The Shoreham NP and Wound Team Lead are completing the new provincial Wound Champion program. </w:t>
      </w:r>
    </w:p>
    <w:p w:rsidR="00B96435" w:rsidRDefault="00B96435" w:rsidP="00D70818"/>
    <w:p w:rsidR="00B96435" w:rsidRDefault="00B96435" w:rsidP="00D70818"/>
    <w:p w:rsidR="00B96435" w:rsidRDefault="00B96435" w:rsidP="00D70818"/>
    <w:p w:rsidR="00B96435" w:rsidRDefault="00B96435" w:rsidP="00D70818"/>
    <w:p w:rsidR="00B96435" w:rsidRDefault="00B96435" w:rsidP="00D70818"/>
    <w:p w:rsidR="00B96435" w:rsidRDefault="00B96435" w:rsidP="00D70818"/>
    <w:p w:rsidR="00B96435" w:rsidRDefault="00B96435" w:rsidP="00D70818"/>
    <w:p w:rsidR="00B96435" w:rsidRDefault="00B96435" w:rsidP="00D70818"/>
    <w:p w:rsidR="00B96435" w:rsidRDefault="00B96435" w:rsidP="00D70818"/>
    <w:p w:rsidR="00B96435" w:rsidRDefault="00B96435" w:rsidP="00D70818"/>
    <w:p w:rsidR="00D70818" w:rsidRPr="00646673" w:rsidRDefault="008B127B" w:rsidP="00D70818">
      <w:pPr>
        <w:rPr>
          <w:rFonts w:ascii="Calibri" w:hAnsi="Calibri"/>
          <w:b/>
        </w:rPr>
      </w:pPr>
      <w:r>
        <w:rPr>
          <w:b/>
          <w:sz w:val="24"/>
        </w:rPr>
        <w:t>5</w:t>
      </w:r>
      <w:r w:rsidR="00D70818" w:rsidRPr="00027301">
        <w:rPr>
          <w:b/>
          <w:sz w:val="24"/>
        </w:rPr>
        <w:t>.0</w:t>
      </w:r>
      <w:r w:rsidR="00D70818">
        <w:rPr>
          <w:b/>
        </w:rPr>
        <w:tab/>
      </w:r>
      <w:r w:rsidR="00D70818" w:rsidRPr="00881F7F">
        <w:rPr>
          <w:b/>
          <w:sz w:val="24"/>
        </w:rPr>
        <w:t xml:space="preserve">Shoreham Village </w:t>
      </w:r>
      <w:r w:rsidR="000D12E5" w:rsidRPr="00881F7F">
        <w:rPr>
          <w:b/>
          <w:sz w:val="24"/>
        </w:rPr>
        <w:t xml:space="preserve">- </w:t>
      </w:r>
      <w:r w:rsidR="00D70818" w:rsidRPr="00881F7F">
        <w:rPr>
          <w:b/>
          <w:sz w:val="24"/>
        </w:rPr>
        <w:t>Hand Hygiene Report – Q</w:t>
      </w:r>
      <w:r w:rsidR="00336B28">
        <w:rPr>
          <w:b/>
          <w:sz w:val="24"/>
        </w:rPr>
        <w:t>4</w:t>
      </w:r>
      <w:r w:rsidR="00D70818" w:rsidRPr="00881F7F">
        <w:rPr>
          <w:b/>
          <w:sz w:val="24"/>
        </w:rPr>
        <w:t xml:space="preserve"> </w:t>
      </w:r>
      <w:r w:rsidR="00336B28">
        <w:rPr>
          <w:b/>
          <w:sz w:val="24"/>
        </w:rPr>
        <w:t>Jan</w:t>
      </w:r>
      <w:r w:rsidR="00316133" w:rsidRPr="00881F7F">
        <w:rPr>
          <w:b/>
          <w:sz w:val="24"/>
        </w:rPr>
        <w:t xml:space="preserve"> </w:t>
      </w:r>
      <w:r w:rsidR="00D70818" w:rsidRPr="00881F7F">
        <w:rPr>
          <w:b/>
          <w:sz w:val="24"/>
        </w:rPr>
        <w:t xml:space="preserve">– </w:t>
      </w:r>
      <w:r w:rsidR="00336B28">
        <w:rPr>
          <w:b/>
          <w:sz w:val="24"/>
        </w:rPr>
        <w:t>March</w:t>
      </w:r>
      <w:r w:rsidR="002768AC">
        <w:rPr>
          <w:b/>
          <w:sz w:val="24"/>
        </w:rPr>
        <w:t xml:space="preserve"> </w:t>
      </w:r>
      <w:r w:rsidR="00D32D71">
        <w:rPr>
          <w:b/>
          <w:sz w:val="24"/>
        </w:rPr>
        <w:t>2022/23</w:t>
      </w:r>
    </w:p>
    <w:p w:rsidR="00D70818" w:rsidRDefault="00D70818" w:rsidP="00D70818">
      <w:pPr>
        <w:rPr>
          <w:rFonts w:ascii="Calibri" w:hAnsi="Calibri"/>
          <w:b/>
        </w:rPr>
      </w:pPr>
    </w:p>
    <w:tbl>
      <w:tblPr>
        <w:tblStyle w:val="TableGrid"/>
        <w:tblW w:w="0" w:type="auto"/>
        <w:tblInd w:w="198" w:type="dxa"/>
        <w:tblLayout w:type="fixed"/>
        <w:tblLook w:val="04A0" w:firstRow="1" w:lastRow="0" w:firstColumn="1" w:lastColumn="0" w:noHBand="0" w:noVBand="1"/>
      </w:tblPr>
      <w:tblGrid>
        <w:gridCol w:w="2880"/>
        <w:gridCol w:w="1417"/>
        <w:gridCol w:w="1620"/>
        <w:gridCol w:w="1620"/>
        <w:gridCol w:w="1710"/>
      </w:tblGrid>
      <w:tr w:rsidR="00D70818" w:rsidTr="002A3CF7">
        <w:tc>
          <w:tcPr>
            <w:tcW w:w="2880" w:type="dxa"/>
          </w:tcPr>
          <w:p w:rsidR="00D70818" w:rsidRPr="00D12732" w:rsidRDefault="00D70818" w:rsidP="002A3CF7">
            <w:pPr>
              <w:jc w:val="both"/>
              <w:rPr>
                <w:rFonts w:ascii="Calibri" w:hAnsi="Calibri"/>
                <w:b/>
              </w:rPr>
            </w:pPr>
            <w:r>
              <w:rPr>
                <w:rFonts w:ascii="Calibri" w:hAnsi="Calibri"/>
                <w:b/>
              </w:rPr>
              <w:t>Results</w:t>
            </w:r>
          </w:p>
        </w:tc>
        <w:tc>
          <w:tcPr>
            <w:tcW w:w="1417" w:type="dxa"/>
          </w:tcPr>
          <w:p w:rsidR="00D70818" w:rsidRPr="00C92968" w:rsidRDefault="00D70818" w:rsidP="002A3CF7">
            <w:pPr>
              <w:jc w:val="center"/>
              <w:rPr>
                <w:rFonts w:ascii="Calibri" w:hAnsi="Calibri"/>
                <w:b/>
              </w:rPr>
            </w:pPr>
            <w:r w:rsidRPr="00C92968">
              <w:rPr>
                <w:rFonts w:ascii="Calibri" w:hAnsi="Calibri"/>
                <w:b/>
              </w:rPr>
              <w:t>Q1</w:t>
            </w:r>
          </w:p>
        </w:tc>
        <w:tc>
          <w:tcPr>
            <w:tcW w:w="1620" w:type="dxa"/>
          </w:tcPr>
          <w:p w:rsidR="00D70818" w:rsidRPr="00C92968" w:rsidRDefault="00D70818" w:rsidP="002A3CF7">
            <w:pPr>
              <w:jc w:val="center"/>
              <w:rPr>
                <w:rFonts w:ascii="Calibri" w:hAnsi="Calibri"/>
                <w:b/>
              </w:rPr>
            </w:pPr>
            <w:r w:rsidRPr="00C92968">
              <w:rPr>
                <w:rFonts w:ascii="Calibri" w:hAnsi="Calibri"/>
                <w:b/>
              </w:rPr>
              <w:t>Q2</w:t>
            </w:r>
          </w:p>
        </w:tc>
        <w:tc>
          <w:tcPr>
            <w:tcW w:w="1620" w:type="dxa"/>
          </w:tcPr>
          <w:p w:rsidR="00D70818" w:rsidRPr="00C92968" w:rsidRDefault="00D70818" w:rsidP="002A3CF7">
            <w:pPr>
              <w:jc w:val="center"/>
              <w:rPr>
                <w:rFonts w:ascii="Calibri" w:hAnsi="Calibri"/>
                <w:b/>
              </w:rPr>
            </w:pPr>
            <w:r>
              <w:rPr>
                <w:rFonts w:ascii="Calibri" w:hAnsi="Calibri"/>
                <w:b/>
              </w:rPr>
              <w:t>Q3</w:t>
            </w:r>
          </w:p>
        </w:tc>
        <w:tc>
          <w:tcPr>
            <w:tcW w:w="1710" w:type="dxa"/>
          </w:tcPr>
          <w:p w:rsidR="00D70818" w:rsidRDefault="00D70818" w:rsidP="002A3CF7">
            <w:pPr>
              <w:jc w:val="center"/>
              <w:rPr>
                <w:rFonts w:ascii="Calibri" w:hAnsi="Calibri"/>
                <w:b/>
              </w:rPr>
            </w:pPr>
            <w:r>
              <w:rPr>
                <w:rFonts w:ascii="Calibri" w:hAnsi="Calibri"/>
                <w:b/>
              </w:rPr>
              <w:t>Q4</w:t>
            </w:r>
          </w:p>
        </w:tc>
      </w:tr>
      <w:tr w:rsidR="00663C19" w:rsidTr="002A3CF7">
        <w:tc>
          <w:tcPr>
            <w:tcW w:w="2880" w:type="dxa"/>
          </w:tcPr>
          <w:p w:rsidR="00663C19" w:rsidRDefault="00663C19" w:rsidP="00663C19">
            <w:pPr>
              <w:rPr>
                <w:rFonts w:ascii="Calibri" w:hAnsi="Calibri"/>
              </w:rPr>
            </w:pPr>
            <w:r>
              <w:rPr>
                <w:rFonts w:ascii="Calibri" w:hAnsi="Calibri"/>
              </w:rPr>
              <w:t># of Staff  Audited</w:t>
            </w:r>
          </w:p>
        </w:tc>
        <w:tc>
          <w:tcPr>
            <w:tcW w:w="1417" w:type="dxa"/>
          </w:tcPr>
          <w:p w:rsidR="00663C19" w:rsidRPr="00ED3DF5" w:rsidRDefault="00663C19" w:rsidP="00663C19">
            <w:r w:rsidRPr="00ED3DF5">
              <w:t>264</w:t>
            </w:r>
          </w:p>
        </w:tc>
        <w:tc>
          <w:tcPr>
            <w:tcW w:w="1620" w:type="dxa"/>
          </w:tcPr>
          <w:p w:rsidR="00663C19" w:rsidRPr="00ED3DF5" w:rsidRDefault="00663C19" w:rsidP="00663C19">
            <w:r w:rsidRPr="00ED3DF5">
              <w:t>177</w:t>
            </w:r>
          </w:p>
        </w:tc>
        <w:tc>
          <w:tcPr>
            <w:tcW w:w="1620" w:type="dxa"/>
          </w:tcPr>
          <w:p w:rsidR="00663C19" w:rsidRPr="00ED3DF5" w:rsidRDefault="00663C19" w:rsidP="00663C19">
            <w:r w:rsidRPr="00ED3DF5">
              <w:t>191</w:t>
            </w:r>
          </w:p>
        </w:tc>
        <w:tc>
          <w:tcPr>
            <w:tcW w:w="1710" w:type="dxa"/>
          </w:tcPr>
          <w:p w:rsidR="00663C19" w:rsidRDefault="00C27EF3" w:rsidP="00663C19">
            <w:pPr>
              <w:jc w:val="center"/>
              <w:rPr>
                <w:rFonts w:ascii="Calibri" w:hAnsi="Calibri"/>
              </w:rPr>
            </w:pPr>
            <w:r>
              <w:rPr>
                <w:rFonts w:ascii="Calibri" w:hAnsi="Calibri"/>
              </w:rPr>
              <w:t>226</w:t>
            </w:r>
          </w:p>
        </w:tc>
      </w:tr>
      <w:tr w:rsidR="00663C19" w:rsidTr="002A3CF7">
        <w:tc>
          <w:tcPr>
            <w:tcW w:w="2880" w:type="dxa"/>
          </w:tcPr>
          <w:p w:rsidR="00663C19" w:rsidRDefault="00663C19" w:rsidP="00663C19">
            <w:pPr>
              <w:rPr>
                <w:rFonts w:ascii="Calibri" w:hAnsi="Calibri"/>
              </w:rPr>
            </w:pPr>
            <w:r>
              <w:rPr>
                <w:rFonts w:ascii="Calibri" w:hAnsi="Calibri"/>
              </w:rPr>
              <w:t># of  Opportunities Observed</w:t>
            </w:r>
          </w:p>
        </w:tc>
        <w:tc>
          <w:tcPr>
            <w:tcW w:w="1417" w:type="dxa"/>
          </w:tcPr>
          <w:p w:rsidR="00663C19" w:rsidRPr="00ED3DF5" w:rsidRDefault="00663C19" w:rsidP="00663C19">
            <w:r w:rsidRPr="00ED3DF5">
              <w:t>1296</w:t>
            </w:r>
          </w:p>
        </w:tc>
        <w:tc>
          <w:tcPr>
            <w:tcW w:w="1620" w:type="dxa"/>
          </w:tcPr>
          <w:p w:rsidR="00663C19" w:rsidRPr="00ED3DF5" w:rsidRDefault="00663C19" w:rsidP="00663C19">
            <w:r w:rsidRPr="00ED3DF5">
              <w:t>787</w:t>
            </w:r>
          </w:p>
        </w:tc>
        <w:tc>
          <w:tcPr>
            <w:tcW w:w="1620" w:type="dxa"/>
          </w:tcPr>
          <w:p w:rsidR="00663C19" w:rsidRPr="00ED3DF5" w:rsidRDefault="00663C19" w:rsidP="00663C19">
            <w:r w:rsidRPr="00ED3DF5">
              <w:t>1175</w:t>
            </w:r>
          </w:p>
        </w:tc>
        <w:tc>
          <w:tcPr>
            <w:tcW w:w="1710" w:type="dxa"/>
          </w:tcPr>
          <w:p w:rsidR="00663C19" w:rsidRDefault="00C27EF3" w:rsidP="00663C19">
            <w:pPr>
              <w:jc w:val="center"/>
              <w:rPr>
                <w:rFonts w:ascii="Calibri" w:hAnsi="Calibri"/>
              </w:rPr>
            </w:pPr>
            <w:r>
              <w:rPr>
                <w:rFonts w:ascii="Calibri" w:hAnsi="Calibri"/>
              </w:rPr>
              <w:t>1334</w:t>
            </w:r>
          </w:p>
        </w:tc>
      </w:tr>
      <w:tr w:rsidR="00663C19" w:rsidTr="002A3CF7">
        <w:tc>
          <w:tcPr>
            <w:tcW w:w="2880" w:type="dxa"/>
          </w:tcPr>
          <w:p w:rsidR="00663C19" w:rsidRDefault="00663C19" w:rsidP="00663C19">
            <w:pPr>
              <w:rPr>
                <w:rFonts w:ascii="Calibri" w:hAnsi="Calibri"/>
              </w:rPr>
            </w:pPr>
            <w:r>
              <w:rPr>
                <w:rFonts w:ascii="Calibri" w:hAnsi="Calibri"/>
              </w:rPr>
              <w:t xml:space="preserve"># of Opportunities Met </w:t>
            </w:r>
          </w:p>
        </w:tc>
        <w:tc>
          <w:tcPr>
            <w:tcW w:w="1417" w:type="dxa"/>
          </w:tcPr>
          <w:p w:rsidR="00663C19" w:rsidRPr="00ED3DF5" w:rsidRDefault="00663C19" w:rsidP="00663C19">
            <w:r w:rsidRPr="00ED3DF5">
              <w:t>1235 (95.3%)</w:t>
            </w:r>
          </w:p>
        </w:tc>
        <w:tc>
          <w:tcPr>
            <w:tcW w:w="1620" w:type="dxa"/>
          </w:tcPr>
          <w:p w:rsidR="00663C19" w:rsidRPr="00ED3DF5" w:rsidRDefault="00663C19" w:rsidP="00663C19">
            <w:r w:rsidRPr="00ED3DF5">
              <w:t>764 (97%)</w:t>
            </w:r>
          </w:p>
        </w:tc>
        <w:tc>
          <w:tcPr>
            <w:tcW w:w="1620" w:type="dxa"/>
          </w:tcPr>
          <w:p w:rsidR="00663C19" w:rsidRPr="00ED3DF5" w:rsidRDefault="00663C19" w:rsidP="00663C19">
            <w:r w:rsidRPr="00ED3DF5">
              <w:t>1140 (97%)</w:t>
            </w:r>
          </w:p>
        </w:tc>
        <w:tc>
          <w:tcPr>
            <w:tcW w:w="1710" w:type="dxa"/>
          </w:tcPr>
          <w:p w:rsidR="00663C19" w:rsidRDefault="00C27EF3" w:rsidP="00663C19">
            <w:pPr>
              <w:jc w:val="center"/>
              <w:rPr>
                <w:rFonts w:ascii="Calibri" w:hAnsi="Calibri"/>
              </w:rPr>
            </w:pPr>
            <w:r>
              <w:rPr>
                <w:rFonts w:ascii="Calibri" w:hAnsi="Calibri"/>
              </w:rPr>
              <w:t>1311 (98%)</w:t>
            </w:r>
          </w:p>
        </w:tc>
      </w:tr>
      <w:tr w:rsidR="00663C19" w:rsidTr="002A3CF7">
        <w:tc>
          <w:tcPr>
            <w:tcW w:w="2880" w:type="dxa"/>
          </w:tcPr>
          <w:p w:rsidR="00663C19" w:rsidRDefault="00663C19" w:rsidP="00663C19">
            <w:pPr>
              <w:rPr>
                <w:rFonts w:ascii="Calibri" w:hAnsi="Calibri"/>
              </w:rPr>
            </w:pPr>
            <w:r>
              <w:rPr>
                <w:rFonts w:ascii="Calibri" w:hAnsi="Calibri"/>
              </w:rPr>
              <w:t># of Opportunities Missed</w:t>
            </w:r>
          </w:p>
        </w:tc>
        <w:tc>
          <w:tcPr>
            <w:tcW w:w="1417" w:type="dxa"/>
          </w:tcPr>
          <w:p w:rsidR="00663C19" w:rsidRPr="00ED3DF5" w:rsidRDefault="00663C19" w:rsidP="00663C19">
            <w:r w:rsidRPr="00ED3DF5">
              <w:t>61 (4.7%)</w:t>
            </w:r>
          </w:p>
        </w:tc>
        <w:tc>
          <w:tcPr>
            <w:tcW w:w="1620" w:type="dxa"/>
          </w:tcPr>
          <w:p w:rsidR="00663C19" w:rsidRPr="00ED3DF5" w:rsidRDefault="00663C19" w:rsidP="00663C19">
            <w:r w:rsidRPr="00ED3DF5">
              <w:t>23 (3%)</w:t>
            </w:r>
          </w:p>
        </w:tc>
        <w:tc>
          <w:tcPr>
            <w:tcW w:w="1620" w:type="dxa"/>
          </w:tcPr>
          <w:p w:rsidR="00663C19" w:rsidRDefault="00663C19" w:rsidP="00663C19">
            <w:r w:rsidRPr="00ED3DF5">
              <w:t>35 (3%)</w:t>
            </w:r>
          </w:p>
        </w:tc>
        <w:tc>
          <w:tcPr>
            <w:tcW w:w="1710" w:type="dxa"/>
          </w:tcPr>
          <w:p w:rsidR="00663C19" w:rsidRDefault="00C27EF3" w:rsidP="00663C19">
            <w:pPr>
              <w:jc w:val="center"/>
              <w:rPr>
                <w:rFonts w:ascii="Calibri" w:hAnsi="Calibri"/>
              </w:rPr>
            </w:pPr>
            <w:r>
              <w:rPr>
                <w:rFonts w:ascii="Calibri" w:hAnsi="Calibri"/>
              </w:rPr>
              <w:t>23 (2%)</w:t>
            </w:r>
          </w:p>
        </w:tc>
      </w:tr>
    </w:tbl>
    <w:p w:rsidR="00D70818" w:rsidRDefault="00D70818" w:rsidP="00D70818">
      <w:pPr>
        <w:jc w:val="both"/>
        <w:rPr>
          <w:rFonts w:ascii="Calibri" w:hAnsi="Calibri"/>
          <w:sz w:val="20"/>
          <w:szCs w:val="20"/>
        </w:rPr>
      </w:pPr>
    </w:p>
    <w:p w:rsidR="002F35D7" w:rsidRDefault="002F35D7" w:rsidP="00D70818">
      <w:pPr>
        <w:jc w:val="both"/>
        <w:rPr>
          <w:rFonts w:ascii="Calibri" w:hAnsi="Calibri"/>
          <w:sz w:val="20"/>
          <w:szCs w:val="20"/>
        </w:rPr>
      </w:pPr>
    </w:p>
    <w:p w:rsidR="002F35D7" w:rsidRPr="00C92968" w:rsidRDefault="002F35D7" w:rsidP="00D70818">
      <w:pPr>
        <w:jc w:val="both"/>
        <w:rPr>
          <w:rFonts w:ascii="Calibri" w:hAnsi="Calibri"/>
          <w:sz w:val="20"/>
          <w:szCs w:val="20"/>
        </w:rPr>
      </w:pPr>
      <w:r w:rsidRPr="00E964A8">
        <w:rPr>
          <w:noProof/>
          <w:bdr w:val="single" w:sz="6" w:space="0" w:color="auto"/>
          <w:lang w:val="en-CA" w:eastAsia="en-CA"/>
        </w:rPr>
        <w:drawing>
          <wp:inline distT="0" distB="0" distL="0" distR="0">
            <wp:extent cx="6099810" cy="3135085"/>
            <wp:effectExtent l="0" t="0" r="1524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70818" w:rsidRPr="0062323A" w:rsidRDefault="005B5C4A" w:rsidP="00D70818">
      <w:pPr>
        <w:rPr>
          <w:rFonts w:ascii="Calibri" w:hAnsi="Calibri"/>
          <w:b/>
          <w:noProof/>
          <w:szCs w:val="22"/>
        </w:rPr>
      </w:pPr>
      <w:r>
        <w:rPr>
          <w:rFonts w:ascii="Calibri" w:hAnsi="Calibri"/>
          <w:b/>
          <w:noProof/>
          <w:szCs w:val="22"/>
        </w:rPr>
        <w:t>C</w:t>
      </w:r>
      <w:r w:rsidR="00D70818" w:rsidRPr="0062323A">
        <w:rPr>
          <w:rFonts w:ascii="Calibri" w:hAnsi="Calibri"/>
          <w:b/>
          <w:noProof/>
          <w:szCs w:val="22"/>
        </w:rPr>
        <w:t>omments:</w:t>
      </w:r>
    </w:p>
    <w:p w:rsidR="00D70818" w:rsidRDefault="00D70818" w:rsidP="00D70818">
      <w:pPr>
        <w:jc w:val="center"/>
        <w:rPr>
          <w:rFonts w:ascii="Calibri" w:hAnsi="Calibri"/>
          <w:noProof/>
          <w:szCs w:val="22"/>
        </w:rPr>
      </w:pPr>
    </w:p>
    <w:p w:rsidR="003F49EC" w:rsidRDefault="008D3D7A" w:rsidP="003F49EC">
      <w:pPr>
        <w:jc w:val="both"/>
        <w:rPr>
          <w:rFonts w:ascii="Calibri" w:hAnsi="Calibri"/>
          <w:b/>
          <w:szCs w:val="22"/>
        </w:rPr>
      </w:pPr>
      <w:r>
        <w:rPr>
          <w:rFonts w:ascii="Calibri" w:hAnsi="Calibri"/>
          <w:b/>
          <w:szCs w:val="22"/>
        </w:rPr>
        <w:t>Areas for improvement include:</w:t>
      </w:r>
    </w:p>
    <w:p w:rsidR="000D07EE" w:rsidRDefault="000D07EE" w:rsidP="003F49EC">
      <w:pPr>
        <w:jc w:val="both"/>
        <w:rPr>
          <w:rFonts w:ascii="Calibri" w:hAnsi="Calibri"/>
          <w:b/>
          <w:szCs w:val="22"/>
        </w:rPr>
      </w:pPr>
    </w:p>
    <w:p w:rsidR="005C7920" w:rsidRPr="005C7920" w:rsidRDefault="00C27EF3" w:rsidP="003F49EC">
      <w:pPr>
        <w:jc w:val="both"/>
        <w:rPr>
          <w:rFonts w:ascii="Calibri" w:hAnsi="Calibri"/>
          <w:szCs w:val="22"/>
        </w:rPr>
      </w:pPr>
      <w:r>
        <w:rPr>
          <w:rFonts w:ascii="Calibri" w:hAnsi="Calibri"/>
          <w:szCs w:val="22"/>
        </w:rPr>
        <w:t>Hand hygiene is a key infection prevention and control measure and the team</w:t>
      </w:r>
      <w:r w:rsidR="005C7920" w:rsidRPr="005C7920">
        <w:rPr>
          <w:rFonts w:ascii="Calibri" w:hAnsi="Calibri"/>
          <w:szCs w:val="22"/>
        </w:rPr>
        <w:t xml:space="preserve"> </w:t>
      </w:r>
      <w:r w:rsidR="005C7920">
        <w:rPr>
          <w:rFonts w:ascii="Calibri" w:hAnsi="Calibri"/>
          <w:szCs w:val="22"/>
        </w:rPr>
        <w:t>continuously</w:t>
      </w:r>
      <w:r>
        <w:rPr>
          <w:rFonts w:ascii="Calibri" w:hAnsi="Calibri"/>
          <w:szCs w:val="22"/>
        </w:rPr>
        <w:t xml:space="preserve"> audits</w:t>
      </w:r>
      <w:r w:rsidR="005C7920" w:rsidRPr="005C7920">
        <w:rPr>
          <w:rFonts w:ascii="Calibri" w:hAnsi="Calibri"/>
          <w:szCs w:val="22"/>
        </w:rPr>
        <w:t xml:space="preserve"> and e</w:t>
      </w:r>
      <w:r>
        <w:rPr>
          <w:rFonts w:ascii="Calibri" w:hAnsi="Calibri"/>
          <w:szCs w:val="22"/>
        </w:rPr>
        <w:t>ducates</w:t>
      </w:r>
      <w:r w:rsidR="005C7920" w:rsidRPr="005C7920">
        <w:rPr>
          <w:rFonts w:ascii="Calibri" w:hAnsi="Calibri"/>
          <w:szCs w:val="22"/>
        </w:rPr>
        <w:t xml:space="preserve"> staff to support safe practices. </w:t>
      </w:r>
    </w:p>
    <w:p w:rsidR="005C7920" w:rsidRDefault="005C7920" w:rsidP="003F49EC">
      <w:pPr>
        <w:jc w:val="both"/>
        <w:rPr>
          <w:rFonts w:ascii="Calibri" w:hAnsi="Calibri"/>
          <w:b/>
          <w:szCs w:val="22"/>
        </w:rPr>
      </w:pPr>
    </w:p>
    <w:p w:rsidR="000D07EE" w:rsidRDefault="00C27EF3" w:rsidP="003F49EC">
      <w:pPr>
        <w:jc w:val="both"/>
      </w:pPr>
      <w:r>
        <w:rPr>
          <w:rFonts w:ascii="Calibri" w:hAnsi="Calibri"/>
          <w:szCs w:val="22"/>
        </w:rPr>
        <w:t>There were 23</w:t>
      </w:r>
      <w:r w:rsidR="000D07EE">
        <w:rPr>
          <w:rFonts w:ascii="Calibri" w:hAnsi="Calibri"/>
          <w:szCs w:val="22"/>
        </w:rPr>
        <w:t xml:space="preserve"> incidents where the opportunity for </w:t>
      </w:r>
      <w:r w:rsidR="00CA1CEB">
        <w:rPr>
          <w:rFonts w:ascii="Calibri" w:hAnsi="Calibri"/>
          <w:szCs w:val="22"/>
        </w:rPr>
        <w:t xml:space="preserve">Hand Hygiene </w:t>
      </w:r>
      <w:r w:rsidR="005C7920">
        <w:rPr>
          <w:rFonts w:ascii="Calibri" w:hAnsi="Calibri"/>
          <w:szCs w:val="22"/>
        </w:rPr>
        <w:t xml:space="preserve">was missed however no areas scored less than 80%. </w:t>
      </w:r>
      <w:r w:rsidR="00192918">
        <w:rPr>
          <w:rFonts w:ascii="Calibri" w:hAnsi="Calibri"/>
          <w:szCs w:val="22"/>
        </w:rPr>
        <w:t>Areas where the majority of unmet opportunities resulted included:</w:t>
      </w:r>
      <w:r w:rsidR="00192918" w:rsidRPr="00192918">
        <w:t xml:space="preserve"> </w:t>
      </w:r>
      <w:r>
        <w:t xml:space="preserve">food handling/feeding, between procedures with the same person, prior to touching clean linen, prior to direct care, wound care and medication administration.  </w:t>
      </w:r>
    </w:p>
    <w:p w:rsidR="00C27EF3" w:rsidRDefault="00C27EF3" w:rsidP="003F49EC">
      <w:pPr>
        <w:jc w:val="both"/>
      </w:pPr>
    </w:p>
    <w:p w:rsidR="00C27EF3" w:rsidRPr="00C27EF3" w:rsidRDefault="00C27EF3" w:rsidP="003F49EC">
      <w:pPr>
        <w:jc w:val="both"/>
      </w:pPr>
      <w:r>
        <w:t xml:space="preserve">On the spot education is provided to staff at the time of the audits to support learning and improved practice. All staff complete annual hand hygiene education. </w:t>
      </w:r>
    </w:p>
    <w:p w:rsidR="00F91651" w:rsidRDefault="00F91651" w:rsidP="003F49EC">
      <w:pPr>
        <w:jc w:val="both"/>
        <w:rPr>
          <w:color w:val="000000"/>
          <w:szCs w:val="22"/>
        </w:rPr>
      </w:pPr>
    </w:p>
    <w:p w:rsidR="00C27EF3" w:rsidRDefault="00C27EF3" w:rsidP="003F49EC">
      <w:pPr>
        <w:jc w:val="both"/>
        <w:rPr>
          <w:color w:val="000000"/>
          <w:szCs w:val="22"/>
        </w:rPr>
      </w:pPr>
    </w:p>
    <w:p w:rsidR="00C27EF3" w:rsidRDefault="00C27EF3" w:rsidP="003F49EC">
      <w:pPr>
        <w:jc w:val="both"/>
        <w:rPr>
          <w:color w:val="000000"/>
          <w:szCs w:val="22"/>
        </w:rPr>
      </w:pPr>
    </w:p>
    <w:p w:rsidR="00C27EF3" w:rsidRDefault="00C27EF3" w:rsidP="003F49EC">
      <w:pPr>
        <w:jc w:val="both"/>
        <w:rPr>
          <w:color w:val="000000"/>
          <w:szCs w:val="22"/>
        </w:rPr>
      </w:pPr>
    </w:p>
    <w:p w:rsidR="00C27EF3" w:rsidRDefault="00C27EF3" w:rsidP="003F49EC">
      <w:pPr>
        <w:jc w:val="both"/>
        <w:rPr>
          <w:color w:val="000000"/>
          <w:szCs w:val="22"/>
        </w:rPr>
      </w:pPr>
    </w:p>
    <w:p w:rsidR="00C27EF3" w:rsidRDefault="00C27EF3" w:rsidP="003F49EC">
      <w:pPr>
        <w:jc w:val="both"/>
        <w:rPr>
          <w:color w:val="000000"/>
          <w:szCs w:val="22"/>
        </w:rPr>
      </w:pPr>
    </w:p>
    <w:p w:rsidR="00C27EF3" w:rsidRDefault="00C27EF3" w:rsidP="003F49EC">
      <w:pPr>
        <w:jc w:val="both"/>
        <w:rPr>
          <w:color w:val="000000"/>
          <w:szCs w:val="22"/>
        </w:rPr>
      </w:pPr>
    </w:p>
    <w:p w:rsidR="00C27EF3" w:rsidRDefault="00C27EF3" w:rsidP="003F49EC">
      <w:pPr>
        <w:jc w:val="both"/>
        <w:rPr>
          <w:color w:val="000000"/>
          <w:szCs w:val="22"/>
        </w:rPr>
      </w:pPr>
    </w:p>
    <w:p w:rsidR="009D3FA0" w:rsidRPr="00646673" w:rsidRDefault="008B127B" w:rsidP="009D3FA0">
      <w:pPr>
        <w:rPr>
          <w:rFonts w:ascii="Calibri" w:hAnsi="Calibri"/>
          <w:b/>
        </w:rPr>
      </w:pPr>
      <w:r>
        <w:rPr>
          <w:b/>
          <w:sz w:val="24"/>
        </w:rPr>
        <w:t>6</w:t>
      </w:r>
      <w:r w:rsidR="009D3FA0" w:rsidRPr="00027301">
        <w:rPr>
          <w:b/>
          <w:sz w:val="24"/>
        </w:rPr>
        <w:t>.0</w:t>
      </w:r>
      <w:r w:rsidR="009D3FA0">
        <w:rPr>
          <w:b/>
        </w:rPr>
        <w:tab/>
      </w:r>
      <w:r w:rsidR="009D3FA0" w:rsidRPr="00881F7F">
        <w:rPr>
          <w:b/>
          <w:sz w:val="24"/>
        </w:rPr>
        <w:t xml:space="preserve">Shoreham Village - </w:t>
      </w:r>
      <w:r w:rsidR="009D3FA0">
        <w:rPr>
          <w:b/>
          <w:sz w:val="24"/>
        </w:rPr>
        <w:t>Volunteer</w:t>
      </w:r>
      <w:r w:rsidR="009D3FA0" w:rsidRPr="00881F7F">
        <w:rPr>
          <w:b/>
          <w:sz w:val="24"/>
        </w:rPr>
        <w:t xml:space="preserve"> Report – Q</w:t>
      </w:r>
      <w:r w:rsidR="00336B28">
        <w:rPr>
          <w:b/>
          <w:sz w:val="24"/>
        </w:rPr>
        <w:t>4</w:t>
      </w:r>
      <w:r w:rsidR="009D3FA0">
        <w:rPr>
          <w:b/>
          <w:sz w:val="24"/>
        </w:rPr>
        <w:t xml:space="preserve"> </w:t>
      </w:r>
      <w:r w:rsidR="00336B28">
        <w:rPr>
          <w:b/>
          <w:sz w:val="24"/>
        </w:rPr>
        <w:t>Jan</w:t>
      </w:r>
      <w:r w:rsidR="003F49EC">
        <w:rPr>
          <w:b/>
          <w:sz w:val="24"/>
        </w:rPr>
        <w:t xml:space="preserve"> – </w:t>
      </w:r>
      <w:r w:rsidR="00336B28">
        <w:rPr>
          <w:b/>
          <w:sz w:val="24"/>
        </w:rPr>
        <w:t>March</w:t>
      </w:r>
      <w:r w:rsidR="003F49EC">
        <w:rPr>
          <w:b/>
          <w:sz w:val="24"/>
        </w:rPr>
        <w:t xml:space="preserve"> </w:t>
      </w:r>
      <w:r w:rsidR="00D32D71">
        <w:rPr>
          <w:b/>
          <w:sz w:val="24"/>
        </w:rPr>
        <w:t>2022/23</w:t>
      </w:r>
      <w:r w:rsidR="00C33009">
        <w:rPr>
          <w:b/>
          <w:sz w:val="24"/>
        </w:rPr>
        <w:t>.</w:t>
      </w:r>
      <w:r w:rsidR="003F49EC">
        <w:rPr>
          <w:b/>
          <w:sz w:val="24"/>
        </w:rPr>
        <w:t xml:space="preserve"> </w:t>
      </w:r>
    </w:p>
    <w:p w:rsidR="009D3FA0" w:rsidRDefault="009D3FA0" w:rsidP="009D3FA0">
      <w:pPr>
        <w:jc w:val="both"/>
        <w:rPr>
          <w:rFonts w:ascii="Calibri" w:hAnsi="Calibri"/>
          <w:szCs w:val="22"/>
        </w:rPr>
      </w:pPr>
    </w:p>
    <w:p w:rsidR="009D3FA0" w:rsidRDefault="009D3FA0" w:rsidP="009D3FA0">
      <w:r>
        <w:rPr>
          <w:noProof/>
          <w:lang w:val="en-CA" w:eastAsia="en-CA"/>
        </w:rPr>
        <w:drawing>
          <wp:inline distT="0" distB="0" distL="0" distR="0" wp14:anchorId="731DCE3C" wp14:editId="597DBDD2">
            <wp:extent cx="6223000" cy="3086100"/>
            <wp:effectExtent l="0" t="0" r="635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D3FA0" w:rsidRDefault="009D3FA0" w:rsidP="009D3FA0"/>
    <w:p w:rsidR="005029B2" w:rsidRPr="0062323A" w:rsidRDefault="005029B2" w:rsidP="005029B2">
      <w:pPr>
        <w:rPr>
          <w:rFonts w:ascii="Calibri" w:hAnsi="Calibri"/>
          <w:b/>
          <w:noProof/>
          <w:szCs w:val="22"/>
        </w:rPr>
      </w:pPr>
      <w:r>
        <w:rPr>
          <w:rFonts w:ascii="Calibri" w:hAnsi="Calibri"/>
          <w:b/>
          <w:noProof/>
          <w:szCs w:val="22"/>
        </w:rPr>
        <w:t>C</w:t>
      </w:r>
      <w:r w:rsidRPr="0062323A">
        <w:rPr>
          <w:rFonts w:ascii="Calibri" w:hAnsi="Calibri"/>
          <w:b/>
          <w:noProof/>
          <w:szCs w:val="22"/>
        </w:rPr>
        <w:t>omments:</w:t>
      </w:r>
    </w:p>
    <w:p w:rsidR="005029B2" w:rsidRDefault="005029B2" w:rsidP="009D3FA0"/>
    <w:p w:rsidR="003F49EC" w:rsidRPr="0027660C" w:rsidRDefault="003F49EC" w:rsidP="003F49EC">
      <w:pPr>
        <w:rPr>
          <w:rFonts w:cs="Arial"/>
          <w:b/>
          <w:sz w:val="24"/>
        </w:rPr>
      </w:pPr>
      <w:r w:rsidRPr="0027660C">
        <w:rPr>
          <w:rFonts w:cs="Arial"/>
          <w:b/>
          <w:sz w:val="24"/>
        </w:rPr>
        <w:t>Volunteer Recruitment, Training and Retention</w:t>
      </w:r>
    </w:p>
    <w:p w:rsidR="003F49EC" w:rsidRDefault="003F49EC" w:rsidP="009D3FA0"/>
    <w:p w:rsidR="004E196A" w:rsidRDefault="009A3C01" w:rsidP="004E196A">
      <w:pPr>
        <w:rPr>
          <w:rFonts w:ascii="Arial" w:hAnsi="Arial" w:cs="Arial"/>
          <w:sz w:val="18"/>
          <w:szCs w:val="18"/>
        </w:rPr>
      </w:pPr>
      <w:r>
        <w:rPr>
          <w:rFonts w:ascii="Arial" w:hAnsi="Arial" w:cs="Arial"/>
          <w:sz w:val="18"/>
          <w:szCs w:val="18"/>
        </w:rPr>
        <w:t xml:space="preserve">We </w:t>
      </w:r>
      <w:r w:rsidR="004E196A">
        <w:rPr>
          <w:rFonts w:ascii="Arial" w:hAnsi="Arial" w:cs="Arial"/>
          <w:sz w:val="18"/>
          <w:szCs w:val="18"/>
        </w:rPr>
        <w:t xml:space="preserve">continue to maintain email, social media and verbal communications with volunteers. </w:t>
      </w:r>
      <w:r>
        <w:rPr>
          <w:rFonts w:ascii="Arial" w:hAnsi="Arial" w:cs="Arial"/>
          <w:sz w:val="18"/>
          <w:szCs w:val="18"/>
        </w:rPr>
        <w:t xml:space="preserve">This quarter the team updated the Volunteer handbook and is investigating a new volunteer management software called Volgistics. </w:t>
      </w:r>
    </w:p>
    <w:p w:rsidR="003F49EC" w:rsidRDefault="003F49EC" w:rsidP="003F49EC">
      <w:pPr>
        <w:rPr>
          <w:rFonts w:ascii="Arial" w:hAnsi="Arial" w:cs="Arial"/>
          <w:sz w:val="18"/>
          <w:szCs w:val="18"/>
        </w:rPr>
      </w:pPr>
    </w:p>
    <w:p w:rsidR="003F49EC" w:rsidRPr="001E3A78" w:rsidRDefault="003F49EC" w:rsidP="003F49EC">
      <w:pPr>
        <w:rPr>
          <w:rFonts w:cs="Arial"/>
          <w:b/>
          <w:sz w:val="24"/>
        </w:rPr>
      </w:pPr>
      <w:r w:rsidRPr="001E3A78">
        <w:rPr>
          <w:rFonts w:cs="Arial"/>
          <w:b/>
          <w:sz w:val="24"/>
        </w:rPr>
        <w:t>Steady or Growing volunteer base</w:t>
      </w:r>
    </w:p>
    <w:p w:rsidR="003F49EC" w:rsidRDefault="003F49EC" w:rsidP="003F49EC">
      <w:pPr>
        <w:rPr>
          <w:rFonts w:ascii="Arial" w:hAnsi="Arial" w:cs="Arial"/>
          <w:sz w:val="18"/>
          <w:szCs w:val="18"/>
        </w:rPr>
      </w:pPr>
    </w:p>
    <w:p w:rsidR="009A3C01" w:rsidRDefault="009A3C01" w:rsidP="009A3C01">
      <w:pPr>
        <w:rPr>
          <w:rFonts w:ascii="Arial" w:hAnsi="Arial" w:cs="Arial"/>
          <w:sz w:val="18"/>
          <w:szCs w:val="18"/>
        </w:rPr>
      </w:pPr>
      <w:r>
        <w:rPr>
          <w:rFonts w:ascii="Arial" w:hAnsi="Arial" w:cs="Arial"/>
          <w:sz w:val="18"/>
          <w:szCs w:val="18"/>
        </w:rPr>
        <w:t>Shoreham</w:t>
      </w:r>
      <w:r w:rsidRPr="009A3C01">
        <w:rPr>
          <w:rFonts w:ascii="Arial" w:hAnsi="Arial" w:cs="Arial"/>
          <w:sz w:val="18"/>
          <w:szCs w:val="18"/>
        </w:rPr>
        <w:t xml:space="preserve"> provide</w:t>
      </w:r>
      <w:r>
        <w:rPr>
          <w:rFonts w:ascii="Arial" w:hAnsi="Arial" w:cs="Arial"/>
          <w:sz w:val="18"/>
          <w:szCs w:val="18"/>
        </w:rPr>
        <w:t>s</w:t>
      </w:r>
      <w:r w:rsidRPr="009A3C01">
        <w:rPr>
          <w:rFonts w:ascii="Arial" w:hAnsi="Arial" w:cs="Arial"/>
          <w:sz w:val="18"/>
          <w:szCs w:val="18"/>
        </w:rPr>
        <w:t xml:space="preserve"> a positive volunteer experience for both residents and </w:t>
      </w:r>
      <w:r>
        <w:rPr>
          <w:rFonts w:ascii="Arial" w:hAnsi="Arial" w:cs="Arial"/>
          <w:sz w:val="18"/>
          <w:szCs w:val="18"/>
        </w:rPr>
        <w:t xml:space="preserve">volunteer participants. We </w:t>
      </w:r>
      <w:r w:rsidRPr="009A3C01">
        <w:rPr>
          <w:rFonts w:ascii="Arial" w:hAnsi="Arial" w:cs="Arial"/>
          <w:sz w:val="18"/>
          <w:szCs w:val="18"/>
        </w:rPr>
        <w:t xml:space="preserve">continue to recruit and grow our program. </w:t>
      </w:r>
    </w:p>
    <w:p w:rsidR="009A3C01" w:rsidRPr="009A3C01" w:rsidRDefault="009A3C01" w:rsidP="009A3C01">
      <w:pPr>
        <w:rPr>
          <w:rFonts w:ascii="Arial" w:hAnsi="Arial" w:cs="Arial"/>
          <w:sz w:val="18"/>
          <w:szCs w:val="18"/>
        </w:rPr>
      </w:pPr>
    </w:p>
    <w:p w:rsidR="009A3C01" w:rsidRDefault="009A3C01" w:rsidP="009A3C01">
      <w:pPr>
        <w:rPr>
          <w:rFonts w:ascii="Arial" w:hAnsi="Arial" w:cs="Arial"/>
          <w:sz w:val="18"/>
          <w:szCs w:val="18"/>
        </w:rPr>
      </w:pPr>
      <w:r w:rsidRPr="009A3C01">
        <w:rPr>
          <w:rFonts w:ascii="Arial" w:hAnsi="Arial" w:cs="Arial"/>
          <w:sz w:val="18"/>
          <w:szCs w:val="18"/>
        </w:rPr>
        <w:t>We have 3 new volunteers join the program this quarter.</w:t>
      </w:r>
      <w:r>
        <w:rPr>
          <w:rFonts w:ascii="Arial" w:hAnsi="Arial" w:cs="Arial"/>
          <w:sz w:val="18"/>
          <w:szCs w:val="18"/>
        </w:rPr>
        <w:t xml:space="preserve"> </w:t>
      </w:r>
      <w:r w:rsidRPr="009A3C01">
        <w:rPr>
          <w:rFonts w:ascii="Arial" w:hAnsi="Arial" w:cs="Arial"/>
          <w:sz w:val="18"/>
          <w:szCs w:val="18"/>
        </w:rPr>
        <w:t>0 retired/inactive</w:t>
      </w:r>
    </w:p>
    <w:sectPr w:rsidR="009A3C01" w:rsidSect="007D2620">
      <w:headerReference w:type="default" r:id="rId17"/>
      <w:footerReference w:type="default" r:id="rId18"/>
      <w:pgSz w:w="12240" w:h="15840"/>
      <w:pgMar w:top="630" w:right="1440" w:bottom="720" w:left="990" w:header="540" w:footer="54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D86" w:rsidRDefault="00260D86" w:rsidP="001C6404">
      <w:r>
        <w:separator/>
      </w:r>
    </w:p>
  </w:endnote>
  <w:endnote w:type="continuationSeparator" w:id="0">
    <w:p w:rsidR="00260D86" w:rsidRDefault="00260D86" w:rsidP="001C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563453"/>
      <w:docPartObj>
        <w:docPartGallery w:val="Page Numbers (Bottom of Page)"/>
        <w:docPartUnique/>
      </w:docPartObj>
    </w:sdtPr>
    <w:sdtEndPr>
      <w:rPr>
        <w:noProof/>
      </w:rPr>
    </w:sdtEndPr>
    <w:sdtContent>
      <w:p w:rsidR="00260D86" w:rsidRDefault="00260D86">
        <w:pPr>
          <w:pStyle w:val="Footer"/>
          <w:jc w:val="right"/>
        </w:pPr>
        <w:r>
          <w:fldChar w:fldCharType="begin"/>
        </w:r>
        <w:r>
          <w:instrText xml:space="preserve"> PAGE   \* MERGEFORMAT </w:instrText>
        </w:r>
        <w:r>
          <w:fldChar w:fldCharType="separate"/>
        </w:r>
        <w:r w:rsidR="00BC520A">
          <w:rPr>
            <w:noProof/>
          </w:rPr>
          <w:t>1</w:t>
        </w:r>
        <w:r>
          <w:rPr>
            <w:noProof/>
          </w:rPr>
          <w:fldChar w:fldCharType="end"/>
        </w:r>
      </w:p>
    </w:sdtContent>
  </w:sdt>
  <w:p w:rsidR="00260D86" w:rsidRDefault="00260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D86" w:rsidRDefault="00260D86" w:rsidP="001C6404">
      <w:r>
        <w:separator/>
      </w:r>
    </w:p>
  </w:footnote>
  <w:footnote w:type="continuationSeparator" w:id="0">
    <w:p w:rsidR="00260D86" w:rsidRDefault="00260D86" w:rsidP="001C6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D86" w:rsidRPr="00CF1910" w:rsidRDefault="00260D86">
    <w:pPr>
      <w:pStyle w:val="Header"/>
      <w:rPr>
        <w:i/>
        <w:sz w:val="28"/>
        <w:szCs w:val="28"/>
      </w:rPr>
    </w:pPr>
    <w:r w:rsidRPr="00CF1910">
      <w:rPr>
        <w:i/>
        <w:sz w:val="28"/>
        <w:szCs w:val="28"/>
      </w:rPr>
      <w:t>Shoreham Village Resident Care Scorecard</w:t>
    </w:r>
  </w:p>
  <w:p w:rsidR="00260D86" w:rsidRDefault="00260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70CC"/>
    <w:multiLevelType w:val="hybridMultilevel"/>
    <w:tmpl w:val="1380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858AC"/>
    <w:multiLevelType w:val="multilevel"/>
    <w:tmpl w:val="2EFE4CFE"/>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1FF532FB"/>
    <w:multiLevelType w:val="hybridMultilevel"/>
    <w:tmpl w:val="FAFE8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237FF8"/>
    <w:multiLevelType w:val="hybridMultilevel"/>
    <w:tmpl w:val="38C8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24296"/>
    <w:multiLevelType w:val="hybridMultilevel"/>
    <w:tmpl w:val="795A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379B4"/>
    <w:multiLevelType w:val="hybridMultilevel"/>
    <w:tmpl w:val="9E30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57068"/>
    <w:multiLevelType w:val="hybridMultilevel"/>
    <w:tmpl w:val="22F4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0B"/>
    <w:rsid w:val="00001E76"/>
    <w:rsid w:val="00006395"/>
    <w:rsid w:val="0001080C"/>
    <w:rsid w:val="00011193"/>
    <w:rsid w:val="00015F41"/>
    <w:rsid w:val="0002160E"/>
    <w:rsid w:val="000260BD"/>
    <w:rsid w:val="00027301"/>
    <w:rsid w:val="00027A97"/>
    <w:rsid w:val="000501E8"/>
    <w:rsid w:val="0005139C"/>
    <w:rsid w:val="00055044"/>
    <w:rsid w:val="00055640"/>
    <w:rsid w:val="0005661E"/>
    <w:rsid w:val="0006339A"/>
    <w:rsid w:val="00067702"/>
    <w:rsid w:val="00070BD6"/>
    <w:rsid w:val="000844CD"/>
    <w:rsid w:val="00085A45"/>
    <w:rsid w:val="00086FB9"/>
    <w:rsid w:val="00087BCB"/>
    <w:rsid w:val="000A1814"/>
    <w:rsid w:val="000A4A87"/>
    <w:rsid w:val="000A5242"/>
    <w:rsid w:val="000A6825"/>
    <w:rsid w:val="000B617F"/>
    <w:rsid w:val="000C2076"/>
    <w:rsid w:val="000D07EE"/>
    <w:rsid w:val="000D12E5"/>
    <w:rsid w:val="000D67FC"/>
    <w:rsid w:val="000D705B"/>
    <w:rsid w:val="000E0511"/>
    <w:rsid w:val="000F7DC4"/>
    <w:rsid w:val="001121A0"/>
    <w:rsid w:val="00113AEC"/>
    <w:rsid w:val="00114B4A"/>
    <w:rsid w:val="001206C5"/>
    <w:rsid w:val="00122916"/>
    <w:rsid w:val="00124BEE"/>
    <w:rsid w:val="001253A1"/>
    <w:rsid w:val="00134B14"/>
    <w:rsid w:val="00134C02"/>
    <w:rsid w:val="001421F3"/>
    <w:rsid w:val="00144FB8"/>
    <w:rsid w:val="00145336"/>
    <w:rsid w:val="00145ABC"/>
    <w:rsid w:val="00147D37"/>
    <w:rsid w:val="00151BC2"/>
    <w:rsid w:val="00151E13"/>
    <w:rsid w:val="001539F0"/>
    <w:rsid w:val="0016425D"/>
    <w:rsid w:val="00164F42"/>
    <w:rsid w:val="00172E32"/>
    <w:rsid w:val="001745D1"/>
    <w:rsid w:val="0017649F"/>
    <w:rsid w:val="00192918"/>
    <w:rsid w:val="0019297B"/>
    <w:rsid w:val="00197212"/>
    <w:rsid w:val="001A77C4"/>
    <w:rsid w:val="001C00B9"/>
    <w:rsid w:val="001C6404"/>
    <w:rsid w:val="001D0D53"/>
    <w:rsid w:val="001D4DA3"/>
    <w:rsid w:val="001F29A7"/>
    <w:rsid w:val="00206CFF"/>
    <w:rsid w:val="0020710C"/>
    <w:rsid w:val="00212425"/>
    <w:rsid w:val="00216BEA"/>
    <w:rsid w:val="00221FD2"/>
    <w:rsid w:val="00225F74"/>
    <w:rsid w:val="00233691"/>
    <w:rsid w:val="00235E5A"/>
    <w:rsid w:val="0024056C"/>
    <w:rsid w:val="00256618"/>
    <w:rsid w:val="00260D86"/>
    <w:rsid w:val="00261EFC"/>
    <w:rsid w:val="002622EC"/>
    <w:rsid w:val="00266D36"/>
    <w:rsid w:val="002673C2"/>
    <w:rsid w:val="00273CBD"/>
    <w:rsid w:val="002768AC"/>
    <w:rsid w:val="002802F2"/>
    <w:rsid w:val="0028577C"/>
    <w:rsid w:val="002958B0"/>
    <w:rsid w:val="002A0737"/>
    <w:rsid w:val="002A3CF7"/>
    <w:rsid w:val="002A4813"/>
    <w:rsid w:val="002B1277"/>
    <w:rsid w:val="002C1405"/>
    <w:rsid w:val="002C178F"/>
    <w:rsid w:val="002C526D"/>
    <w:rsid w:val="002C7B33"/>
    <w:rsid w:val="002D389D"/>
    <w:rsid w:val="002D56AD"/>
    <w:rsid w:val="002E4C65"/>
    <w:rsid w:val="002E762B"/>
    <w:rsid w:val="002F35D7"/>
    <w:rsid w:val="00303213"/>
    <w:rsid w:val="003056B5"/>
    <w:rsid w:val="003120D1"/>
    <w:rsid w:val="003141E3"/>
    <w:rsid w:val="00315836"/>
    <w:rsid w:val="00316133"/>
    <w:rsid w:val="00316150"/>
    <w:rsid w:val="00333940"/>
    <w:rsid w:val="00335325"/>
    <w:rsid w:val="00336B28"/>
    <w:rsid w:val="0034126B"/>
    <w:rsid w:val="00342822"/>
    <w:rsid w:val="00342CED"/>
    <w:rsid w:val="00357201"/>
    <w:rsid w:val="0036270C"/>
    <w:rsid w:val="003653F0"/>
    <w:rsid w:val="00390E27"/>
    <w:rsid w:val="0039478F"/>
    <w:rsid w:val="003A0B71"/>
    <w:rsid w:val="003A2481"/>
    <w:rsid w:val="003A274E"/>
    <w:rsid w:val="003A5907"/>
    <w:rsid w:val="003B3F66"/>
    <w:rsid w:val="003C133E"/>
    <w:rsid w:val="003E1E41"/>
    <w:rsid w:val="003E43F3"/>
    <w:rsid w:val="003E57E2"/>
    <w:rsid w:val="003F153B"/>
    <w:rsid w:val="003F49EC"/>
    <w:rsid w:val="003F7102"/>
    <w:rsid w:val="00405760"/>
    <w:rsid w:val="004101DC"/>
    <w:rsid w:val="00413FCB"/>
    <w:rsid w:val="004175E1"/>
    <w:rsid w:val="00421B40"/>
    <w:rsid w:val="00427D1B"/>
    <w:rsid w:val="00433791"/>
    <w:rsid w:val="00435291"/>
    <w:rsid w:val="00437C59"/>
    <w:rsid w:val="00445E9D"/>
    <w:rsid w:val="00452861"/>
    <w:rsid w:val="00462123"/>
    <w:rsid w:val="004623DC"/>
    <w:rsid w:val="00470322"/>
    <w:rsid w:val="00471539"/>
    <w:rsid w:val="00475C1E"/>
    <w:rsid w:val="00481B18"/>
    <w:rsid w:val="00483D2E"/>
    <w:rsid w:val="00485001"/>
    <w:rsid w:val="00486472"/>
    <w:rsid w:val="00491D98"/>
    <w:rsid w:val="004A63A6"/>
    <w:rsid w:val="004A77F3"/>
    <w:rsid w:val="004C17E7"/>
    <w:rsid w:val="004C2D51"/>
    <w:rsid w:val="004C3201"/>
    <w:rsid w:val="004C7336"/>
    <w:rsid w:val="004E05ED"/>
    <w:rsid w:val="004E196A"/>
    <w:rsid w:val="004E2E0E"/>
    <w:rsid w:val="004F2410"/>
    <w:rsid w:val="004F5DBC"/>
    <w:rsid w:val="005029B2"/>
    <w:rsid w:val="005032E8"/>
    <w:rsid w:val="00506351"/>
    <w:rsid w:val="005117EC"/>
    <w:rsid w:val="00511E80"/>
    <w:rsid w:val="00520FF0"/>
    <w:rsid w:val="00527A01"/>
    <w:rsid w:val="00533599"/>
    <w:rsid w:val="005349A3"/>
    <w:rsid w:val="0054025E"/>
    <w:rsid w:val="005411A7"/>
    <w:rsid w:val="00543A8B"/>
    <w:rsid w:val="00554218"/>
    <w:rsid w:val="00572DD2"/>
    <w:rsid w:val="00575ED1"/>
    <w:rsid w:val="005833AB"/>
    <w:rsid w:val="005855D8"/>
    <w:rsid w:val="0059043D"/>
    <w:rsid w:val="005A183F"/>
    <w:rsid w:val="005A2626"/>
    <w:rsid w:val="005A5966"/>
    <w:rsid w:val="005A7F3B"/>
    <w:rsid w:val="005B242C"/>
    <w:rsid w:val="005B5274"/>
    <w:rsid w:val="005B5C4A"/>
    <w:rsid w:val="005B6CBA"/>
    <w:rsid w:val="005B7123"/>
    <w:rsid w:val="005C0AA5"/>
    <w:rsid w:val="005C6AEA"/>
    <w:rsid w:val="005C7920"/>
    <w:rsid w:val="005D35B2"/>
    <w:rsid w:val="005F05BB"/>
    <w:rsid w:val="005F22C7"/>
    <w:rsid w:val="005F302A"/>
    <w:rsid w:val="005F5335"/>
    <w:rsid w:val="005F5DA0"/>
    <w:rsid w:val="00603293"/>
    <w:rsid w:val="006033F1"/>
    <w:rsid w:val="006149A4"/>
    <w:rsid w:val="00620026"/>
    <w:rsid w:val="0062327A"/>
    <w:rsid w:val="00633DDB"/>
    <w:rsid w:val="006537D7"/>
    <w:rsid w:val="00662299"/>
    <w:rsid w:val="00663C19"/>
    <w:rsid w:val="00664FFC"/>
    <w:rsid w:val="006651F3"/>
    <w:rsid w:val="00666DF4"/>
    <w:rsid w:val="00673301"/>
    <w:rsid w:val="00680BAB"/>
    <w:rsid w:val="00683C5C"/>
    <w:rsid w:val="006902B7"/>
    <w:rsid w:val="00691D4B"/>
    <w:rsid w:val="00692019"/>
    <w:rsid w:val="00692F36"/>
    <w:rsid w:val="006A1E19"/>
    <w:rsid w:val="006A2058"/>
    <w:rsid w:val="006A280E"/>
    <w:rsid w:val="006B64DB"/>
    <w:rsid w:val="006C58F8"/>
    <w:rsid w:val="006E086A"/>
    <w:rsid w:val="006E1573"/>
    <w:rsid w:val="006F314C"/>
    <w:rsid w:val="00703E94"/>
    <w:rsid w:val="007079A9"/>
    <w:rsid w:val="00714CCA"/>
    <w:rsid w:val="00730E58"/>
    <w:rsid w:val="00735F15"/>
    <w:rsid w:val="007407D3"/>
    <w:rsid w:val="00753279"/>
    <w:rsid w:val="00755211"/>
    <w:rsid w:val="007552D3"/>
    <w:rsid w:val="00757992"/>
    <w:rsid w:val="007672D5"/>
    <w:rsid w:val="0077133C"/>
    <w:rsid w:val="0077356E"/>
    <w:rsid w:val="0077397D"/>
    <w:rsid w:val="0077660B"/>
    <w:rsid w:val="007779B1"/>
    <w:rsid w:val="00791873"/>
    <w:rsid w:val="00791BBD"/>
    <w:rsid w:val="00795DD6"/>
    <w:rsid w:val="007A32CB"/>
    <w:rsid w:val="007A725E"/>
    <w:rsid w:val="007A7E7D"/>
    <w:rsid w:val="007C02F8"/>
    <w:rsid w:val="007C57BF"/>
    <w:rsid w:val="007D2620"/>
    <w:rsid w:val="007D64B6"/>
    <w:rsid w:val="007D7CDF"/>
    <w:rsid w:val="007E19A1"/>
    <w:rsid w:val="007E6268"/>
    <w:rsid w:val="00801786"/>
    <w:rsid w:val="00807005"/>
    <w:rsid w:val="008106E1"/>
    <w:rsid w:val="008158AA"/>
    <w:rsid w:val="0082196E"/>
    <w:rsid w:val="0082331B"/>
    <w:rsid w:val="00824EE2"/>
    <w:rsid w:val="00826FFE"/>
    <w:rsid w:val="0084011E"/>
    <w:rsid w:val="0084565D"/>
    <w:rsid w:val="0085118F"/>
    <w:rsid w:val="008537FE"/>
    <w:rsid w:val="00855DDD"/>
    <w:rsid w:val="00862528"/>
    <w:rsid w:val="008711CA"/>
    <w:rsid w:val="0087268C"/>
    <w:rsid w:val="0087574E"/>
    <w:rsid w:val="00881F7F"/>
    <w:rsid w:val="008840B2"/>
    <w:rsid w:val="00890802"/>
    <w:rsid w:val="00891EDF"/>
    <w:rsid w:val="008A13FC"/>
    <w:rsid w:val="008A3793"/>
    <w:rsid w:val="008A4D31"/>
    <w:rsid w:val="008B127B"/>
    <w:rsid w:val="008B189A"/>
    <w:rsid w:val="008B2FE9"/>
    <w:rsid w:val="008B5A9E"/>
    <w:rsid w:val="008D3B96"/>
    <w:rsid w:val="008D3D7A"/>
    <w:rsid w:val="008D5EA6"/>
    <w:rsid w:val="008D69E6"/>
    <w:rsid w:val="008E11E7"/>
    <w:rsid w:val="008E2913"/>
    <w:rsid w:val="008E5D3E"/>
    <w:rsid w:val="008E6C0F"/>
    <w:rsid w:val="008F0B59"/>
    <w:rsid w:val="008F53A5"/>
    <w:rsid w:val="0090517C"/>
    <w:rsid w:val="00905A94"/>
    <w:rsid w:val="00921E0C"/>
    <w:rsid w:val="0092395D"/>
    <w:rsid w:val="00936038"/>
    <w:rsid w:val="00936BEA"/>
    <w:rsid w:val="00942615"/>
    <w:rsid w:val="0094473E"/>
    <w:rsid w:val="00947E0D"/>
    <w:rsid w:val="00957E64"/>
    <w:rsid w:val="00960AC1"/>
    <w:rsid w:val="00965A7E"/>
    <w:rsid w:val="00965DA1"/>
    <w:rsid w:val="00965EBE"/>
    <w:rsid w:val="00966716"/>
    <w:rsid w:val="009834D6"/>
    <w:rsid w:val="00983935"/>
    <w:rsid w:val="0098469E"/>
    <w:rsid w:val="009848F5"/>
    <w:rsid w:val="00987258"/>
    <w:rsid w:val="009901F9"/>
    <w:rsid w:val="00990981"/>
    <w:rsid w:val="009A15DB"/>
    <w:rsid w:val="009A20E2"/>
    <w:rsid w:val="009A3C01"/>
    <w:rsid w:val="009A4D68"/>
    <w:rsid w:val="009A753B"/>
    <w:rsid w:val="009A7AD1"/>
    <w:rsid w:val="009B019B"/>
    <w:rsid w:val="009B2164"/>
    <w:rsid w:val="009C40EC"/>
    <w:rsid w:val="009C5733"/>
    <w:rsid w:val="009D0E25"/>
    <w:rsid w:val="009D3FA0"/>
    <w:rsid w:val="009D423A"/>
    <w:rsid w:val="009F061E"/>
    <w:rsid w:val="00A04DB1"/>
    <w:rsid w:val="00A05A74"/>
    <w:rsid w:val="00A07C63"/>
    <w:rsid w:val="00A14046"/>
    <w:rsid w:val="00A25D51"/>
    <w:rsid w:val="00A26CC7"/>
    <w:rsid w:val="00A335D1"/>
    <w:rsid w:val="00A3371A"/>
    <w:rsid w:val="00A34068"/>
    <w:rsid w:val="00A3556A"/>
    <w:rsid w:val="00A36E58"/>
    <w:rsid w:val="00A37CAB"/>
    <w:rsid w:val="00A46228"/>
    <w:rsid w:val="00A5141A"/>
    <w:rsid w:val="00A53D0F"/>
    <w:rsid w:val="00A54C55"/>
    <w:rsid w:val="00A55223"/>
    <w:rsid w:val="00A61FAD"/>
    <w:rsid w:val="00A631F7"/>
    <w:rsid w:val="00A66368"/>
    <w:rsid w:val="00A76C74"/>
    <w:rsid w:val="00A82FB4"/>
    <w:rsid w:val="00A839E2"/>
    <w:rsid w:val="00A8704F"/>
    <w:rsid w:val="00A93FA3"/>
    <w:rsid w:val="00A9520E"/>
    <w:rsid w:val="00A95F73"/>
    <w:rsid w:val="00A97D33"/>
    <w:rsid w:val="00AA348E"/>
    <w:rsid w:val="00AA42CC"/>
    <w:rsid w:val="00AA6B76"/>
    <w:rsid w:val="00AC3FFF"/>
    <w:rsid w:val="00AC4680"/>
    <w:rsid w:val="00AC5680"/>
    <w:rsid w:val="00AC6FA2"/>
    <w:rsid w:val="00AD6E88"/>
    <w:rsid w:val="00AE20EC"/>
    <w:rsid w:val="00AF1549"/>
    <w:rsid w:val="00B02B1F"/>
    <w:rsid w:val="00B20879"/>
    <w:rsid w:val="00B2304E"/>
    <w:rsid w:val="00B336A1"/>
    <w:rsid w:val="00B3534C"/>
    <w:rsid w:val="00B43F27"/>
    <w:rsid w:val="00B51CA0"/>
    <w:rsid w:val="00B560BE"/>
    <w:rsid w:val="00B567AA"/>
    <w:rsid w:val="00B604E4"/>
    <w:rsid w:val="00B6263D"/>
    <w:rsid w:val="00B67871"/>
    <w:rsid w:val="00B74024"/>
    <w:rsid w:val="00B83C00"/>
    <w:rsid w:val="00B849EE"/>
    <w:rsid w:val="00B96435"/>
    <w:rsid w:val="00BA5693"/>
    <w:rsid w:val="00BB5A73"/>
    <w:rsid w:val="00BC520A"/>
    <w:rsid w:val="00BC6BAD"/>
    <w:rsid w:val="00BD01FE"/>
    <w:rsid w:val="00BD0FF7"/>
    <w:rsid w:val="00BE065B"/>
    <w:rsid w:val="00BE0E09"/>
    <w:rsid w:val="00BE3064"/>
    <w:rsid w:val="00BE48BB"/>
    <w:rsid w:val="00BF0B2B"/>
    <w:rsid w:val="00BF259C"/>
    <w:rsid w:val="00C05F10"/>
    <w:rsid w:val="00C10A85"/>
    <w:rsid w:val="00C10E5E"/>
    <w:rsid w:val="00C12E20"/>
    <w:rsid w:val="00C247CD"/>
    <w:rsid w:val="00C25386"/>
    <w:rsid w:val="00C27EF3"/>
    <w:rsid w:val="00C30F46"/>
    <w:rsid w:val="00C33009"/>
    <w:rsid w:val="00C360C0"/>
    <w:rsid w:val="00C441E0"/>
    <w:rsid w:val="00C532F8"/>
    <w:rsid w:val="00C57C80"/>
    <w:rsid w:val="00C60C95"/>
    <w:rsid w:val="00C60FD7"/>
    <w:rsid w:val="00C6110C"/>
    <w:rsid w:val="00C62BFD"/>
    <w:rsid w:val="00C704E9"/>
    <w:rsid w:val="00C803C5"/>
    <w:rsid w:val="00C825BC"/>
    <w:rsid w:val="00C82E0F"/>
    <w:rsid w:val="00C85EA7"/>
    <w:rsid w:val="00C911BC"/>
    <w:rsid w:val="00CA1960"/>
    <w:rsid w:val="00CA1CEB"/>
    <w:rsid w:val="00CA219D"/>
    <w:rsid w:val="00CA44BD"/>
    <w:rsid w:val="00CA7A60"/>
    <w:rsid w:val="00CB0259"/>
    <w:rsid w:val="00CB10C7"/>
    <w:rsid w:val="00CB2069"/>
    <w:rsid w:val="00CD4D9E"/>
    <w:rsid w:val="00CD599B"/>
    <w:rsid w:val="00CD73F5"/>
    <w:rsid w:val="00CE3D0C"/>
    <w:rsid w:val="00CE6167"/>
    <w:rsid w:val="00CE6A7A"/>
    <w:rsid w:val="00CE7A95"/>
    <w:rsid w:val="00CF1910"/>
    <w:rsid w:val="00CF4AE4"/>
    <w:rsid w:val="00D00870"/>
    <w:rsid w:val="00D0099D"/>
    <w:rsid w:val="00D058F2"/>
    <w:rsid w:val="00D10EBE"/>
    <w:rsid w:val="00D12FAE"/>
    <w:rsid w:val="00D14085"/>
    <w:rsid w:val="00D24A78"/>
    <w:rsid w:val="00D32D71"/>
    <w:rsid w:val="00D32DCB"/>
    <w:rsid w:val="00D34AD0"/>
    <w:rsid w:val="00D36E35"/>
    <w:rsid w:val="00D36FAC"/>
    <w:rsid w:val="00D40080"/>
    <w:rsid w:val="00D44B0E"/>
    <w:rsid w:val="00D44DE1"/>
    <w:rsid w:val="00D50629"/>
    <w:rsid w:val="00D54D50"/>
    <w:rsid w:val="00D56D7A"/>
    <w:rsid w:val="00D70818"/>
    <w:rsid w:val="00D709EC"/>
    <w:rsid w:val="00D77584"/>
    <w:rsid w:val="00D865FD"/>
    <w:rsid w:val="00D9263D"/>
    <w:rsid w:val="00D94606"/>
    <w:rsid w:val="00DA152B"/>
    <w:rsid w:val="00DB0F32"/>
    <w:rsid w:val="00DB1B97"/>
    <w:rsid w:val="00DB35D1"/>
    <w:rsid w:val="00DB6A72"/>
    <w:rsid w:val="00DC07A3"/>
    <w:rsid w:val="00DC3908"/>
    <w:rsid w:val="00DC78A8"/>
    <w:rsid w:val="00DD146A"/>
    <w:rsid w:val="00DD2EE8"/>
    <w:rsid w:val="00DD5AC5"/>
    <w:rsid w:val="00DD6DBC"/>
    <w:rsid w:val="00DE1332"/>
    <w:rsid w:val="00DE1D97"/>
    <w:rsid w:val="00DE2A81"/>
    <w:rsid w:val="00DE7E1D"/>
    <w:rsid w:val="00DF1B4E"/>
    <w:rsid w:val="00DF5D53"/>
    <w:rsid w:val="00E026DB"/>
    <w:rsid w:val="00E035C1"/>
    <w:rsid w:val="00E05E16"/>
    <w:rsid w:val="00E06B0B"/>
    <w:rsid w:val="00E10670"/>
    <w:rsid w:val="00E1071F"/>
    <w:rsid w:val="00E249B6"/>
    <w:rsid w:val="00E4016D"/>
    <w:rsid w:val="00E4653B"/>
    <w:rsid w:val="00E56A12"/>
    <w:rsid w:val="00E70987"/>
    <w:rsid w:val="00E70EC2"/>
    <w:rsid w:val="00E773F0"/>
    <w:rsid w:val="00E818D7"/>
    <w:rsid w:val="00E964A8"/>
    <w:rsid w:val="00E970B5"/>
    <w:rsid w:val="00EA2CD4"/>
    <w:rsid w:val="00EB2216"/>
    <w:rsid w:val="00EB3245"/>
    <w:rsid w:val="00EC2006"/>
    <w:rsid w:val="00EC3AE7"/>
    <w:rsid w:val="00EC41C4"/>
    <w:rsid w:val="00EC751E"/>
    <w:rsid w:val="00ED0395"/>
    <w:rsid w:val="00ED4C09"/>
    <w:rsid w:val="00ED6671"/>
    <w:rsid w:val="00EE3F9E"/>
    <w:rsid w:val="00EE4F15"/>
    <w:rsid w:val="00EE525C"/>
    <w:rsid w:val="00EF229E"/>
    <w:rsid w:val="00EF2C0A"/>
    <w:rsid w:val="00EF2DF8"/>
    <w:rsid w:val="00EF3F41"/>
    <w:rsid w:val="00EF7D9B"/>
    <w:rsid w:val="00F048BA"/>
    <w:rsid w:val="00F10737"/>
    <w:rsid w:val="00F12944"/>
    <w:rsid w:val="00F138E3"/>
    <w:rsid w:val="00F23D1F"/>
    <w:rsid w:val="00F270B2"/>
    <w:rsid w:val="00F309AC"/>
    <w:rsid w:val="00F35232"/>
    <w:rsid w:val="00F454FE"/>
    <w:rsid w:val="00F47893"/>
    <w:rsid w:val="00F52518"/>
    <w:rsid w:val="00F5331E"/>
    <w:rsid w:val="00F56C76"/>
    <w:rsid w:val="00F623BE"/>
    <w:rsid w:val="00F665B6"/>
    <w:rsid w:val="00F671C0"/>
    <w:rsid w:val="00F831C7"/>
    <w:rsid w:val="00F905E8"/>
    <w:rsid w:val="00F91651"/>
    <w:rsid w:val="00F92D1D"/>
    <w:rsid w:val="00F92E60"/>
    <w:rsid w:val="00F97D6D"/>
    <w:rsid w:val="00F97E01"/>
    <w:rsid w:val="00FB37D7"/>
    <w:rsid w:val="00FC1CCB"/>
    <w:rsid w:val="00FC369B"/>
    <w:rsid w:val="00FC670E"/>
    <w:rsid w:val="00FC6ED8"/>
    <w:rsid w:val="00FE14B7"/>
    <w:rsid w:val="00FE240A"/>
    <w:rsid w:val="00FE6473"/>
    <w:rsid w:val="00FF5C4C"/>
    <w:rsid w:val="00FF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A198C02-EBC6-40B9-9937-3BB40235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60B"/>
    <w:pPr>
      <w:spacing w:after="0" w:line="240" w:lineRule="auto"/>
    </w:pPr>
    <w:rPr>
      <w:rFonts w:eastAsia="Times New Roman" w:cs="Times New Roman"/>
      <w:szCs w:val="24"/>
      <w:lang w:val="en-US"/>
    </w:rPr>
  </w:style>
  <w:style w:type="paragraph" w:styleId="Heading1">
    <w:name w:val="heading 1"/>
    <w:basedOn w:val="Normal"/>
    <w:next w:val="Normal"/>
    <w:link w:val="Heading1Char"/>
    <w:autoRedefine/>
    <w:qFormat/>
    <w:rsid w:val="00A37CAB"/>
    <w:pPr>
      <w:outlineLvl w:val="0"/>
    </w:pPr>
    <w:rPr>
      <w:rFonts w:ascii="Calibri" w:eastAsiaTheme="minorEastAsia" w:hAnsi="Calibri" w:cstheme="min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60B"/>
    <w:rPr>
      <w:rFonts w:ascii="Tahoma" w:hAnsi="Tahoma" w:cs="Tahoma"/>
      <w:sz w:val="16"/>
      <w:szCs w:val="16"/>
    </w:rPr>
  </w:style>
  <w:style w:type="character" w:customStyle="1" w:styleId="BalloonTextChar">
    <w:name w:val="Balloon Text Char"/>
    <w:basedOn w:val="DefaultParagraphFont"/>
    <w:link w:val="BalloonText"/>
    <w:uiPriority w:val="99"/>
    <w:semiHidden/>
    <w:rsid w:val="0077660B"/>
    <w:rPr>
      <w:rFonts w:ascii="Tahoma" w:eastAsia="Times New Roman" w:hAnsi="Tahoma" w:cs="Tahoma"/>
      <w:sz w:val="16"/>
      <w:szCs w:val="16"/>
      <w:lang w:val="en-US"/>
    </w:rPr>
  </w:style>
  <w:style w:type="character" w:customStyle="1" w:styleId="Heading1Char">
    <w:name w:val="Heading 1 Char"/>
    <w:basedOn w:val="DefaultParagraphFont"/>
    <w:link w:val="Heading1"/>
    <w:rsid w:val="00A37CAB"/>
    <w:rPr>
      <w:rFonts w:ascii="Calibri" w:eastAsiaTheme="minorEastAsia" w:hAnsi="Calibri"/>
      <w:b/>
      <w:sz w:val="24"/>
      <w:szCs w:val="24"/>
      <w:lang w:val="en-US"/>
    </w:rPr>
  </w:style>
  <w:style w:type="paragraph" w:styleId="ListParagraph">
    <w:name w:val="List Paragraph"/>
    <w:basedOn w:val="Normal"/>
    <w:uiPriority w:val="99"/>
    <w:qFormat/>
    <w:rsid w:val="00147D37"/>
    <w:pPr>
      <w:ind w:left="720"/>
      <w:contextualSpacing/>
    </w:pPr>
  </w:style>
  <w:style w:type="paragraph" w:styleId="Header">
    <w:name w:val="header"/>
    <w:basedOn w:val="Normal"/>
    <w:link w:val="HeaderChar"/>
    <w:uiPriority w:val="99"/>
    <w:unhideWhenUsed/>
    <w:rsid w:val="001C6404"/>
    <w:pPr>
      <w:tabs>
        <w:tab w:val="center" w:pos="4680"/>
        <w:tab w:val="right" w:pos="9360"/>
      </w:tabs>
    </w:pPr>
  </w:style>
  <w:style w:type="character" w:customStyle="1" w:styleId="HeaderChar">
    <w:name w:val="Header Char"/>
    <w:basedOn w:val="DefaultParagraphFont"/>
    <w:link w:val="Header"/>
    <w:uiPriority w:val="99"/>
    <w:rsid w:val="001C6404"/>
    <w:rPr>
      <w:rFonts w:eastAsia="Times New Roman" w:cs="Times New Roman"/>
      <w:szCs w:val="24"/>
      <w:lang w:val="en-US"/>
    </w:rPr>
  </w:style>
  <w:style w:type="paragraph" w:styleId="Footer">
    <w:name w:val="footer"/>
    <w:basedOn w:val="Normal"/>
    <w:link w:val="FooterChar"/>
    <w:uiPriority w:val="99"/>
    <w:unhideWhenUsed/>
    <w:rsid w:val="001C6404"/>
    <w:pPr>
      <w:tabs>
        <w:tab w:val="center" w:pos="4680"/>
        <w:tab w:val="right" w:pos="9360"/>
      </w:tabs>
    </w:pPr>
  </w:style>
  <w:style w:type="character" w:customStyle="1" w:styleId="FooterChar">
    <w:name w:val="Footer Char"/>
    <w:basedOn w:val="DefaultParagraphFont"/>
    <w:link w:val="Footer"/>
    <w:uiPriority w:val="99"/>
    <w:rsid w:val="001C6404"/>
    <w:rPr>
      <w:rFonts w:eastAsia="Times New Roman" w:cs="Times New Roman"/>
      <w:szCs w:val="24"/>
      <w:lang w:val="en-US"/>
    </w:rPr>
  </w:style>
  <w:style w:type="table" w:styleId="TableGrid">
    <w:name w:val="Table Grid"/>
    <w:basedOn w:val="TableNormal"/>
    <w:uiPriority w:val="59"/>
    <w:rsid w:val="0043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6681">
      <w:bodyDiv w:val="1"/>
      <w:marLeft w:val="0"/>
      <w:marRight w:val="0"/>
      <w:marTop w:val="0"/>
      <w:marBottom w:val="0"/>
      <w:divBdr>
        <w:top w:val="none" w:sz="0" w:space="0" w:color="auto"/>
        <w:left w:val="none" w:sz="0" w:space="0" w:color="auto"/>
        <w:bottom w:val="none" w:sz="0" w:space="0" w:color="auto"/>
        <w:right w:val="none" w:sz="0" w:space="0" w:color="auto"/>
      </w:divBdr>
    </w:div>
    <w:div w:id="167252616">
      <w:bodyDiv w:val="1"/>
      <w:marLeft w:val="0"/>
      <w:marRight w:val="0"/>
      <w:marTop w:val="0"/>
      <w:marBottom w:val="0"/>
      <w:divBdr>
        <w:top w:val="none" w:sz="0" w:space="0" w:color="auto"/>
        <w:left w:val="none" w:sz="0" w:space="0" w:color="auto"/>
        <w:bottom w:val="none" w:sz="0" w:space="0" w:color="auto"/>
        <w:right w:val="none" w:sz="0" w:space="0" w:color="auto"/>
      </w:divBdr>
    </w:div>
    <w:div w:id="294338869">
      <w:bodyDiv w:val="1"/>
      <w:marLeft w:val="0"/>
      <w:marRight w:val="0"/>
      <w:marTop w:val="0"/>
      <w:marBottom w:val="0"/>
      <w:divBdr>
        <w:top w:val="none" w:sz="0" w:space="0" w:color="auto"/>
        <w:left w:val="none" w:sz="0" w:space="0" w:color="auto"/>
        <w:bottom w:val="none" w:sz="0" w:space="0" w:color="auto"/>
        <w:right w:val="none" w:sz="0" w:space="0" w:color="auto"/>
      </w:divBdr>
    </w:div>
    <w:div w:id="492919313">
      <w:bodyDiv w:val="1"/>
      <w:marLeft w:val="0"/>
      <w:marRight w:val="0"/>
      <w:marTop w:val="0"/>
      <w:marBottom w:val="0"/>
      <w:divBdr>
        <w:top w:val="none" w:sz="0" w:space="0" w:color="auto"/>
        <w:left w:val="none" w:sz="0" w:space="0" w:color="auto"/>
        <w:bottom w:val="none" w:sz="0" w:space="0" w:color="auto"/>
        <w:right w:val="none" w:sz="0" w:space="0" w:color="auto"/>
      </w:divBdr>
    </w:div>
    <w:div w:id="832838060">
      <w:bodyDiv w:val="1"/>
      <w:marLeft w:val="0"/>
      <w:marRight w:val="0"/>
      <w:marTop w:val="0"/>
      <w:marBottom w:val="0"/>
      <w:divBdr>
        <w:top w:val="none" w:sz="0" w:space="0" w:color="auto"/>
        <w:left w:val="none" w:sz="0" w:space="0" w:color="auto"/>
        <w:bottom w:val="none" w:sz="0" w:space="0" w:color="auto"/>
        <w:right w:val="none" w:sz="0" w:space="0" w:color="auto"/>
      </w:divBdr>
    </w:div>
    <w:div w:id="986740559">
      <w:bodyDiv w:val="1"/>
      <w:marLeft w:val="0"/>
      <w:marRight w:val="0"/>
      <w:marTop w:val="0"/>
      <w:marBottom w:val="0"/>
      <w:divBdr>
        <w:top w:val="none" w:sz="0" w:space="0" w:color="auto"/>
        <w:left w:val="none" w:sz="0" w:space="0" w:color="auto"/>
        <w:bottom w:val="none" w:sz="0" w:space="0" w:color="auto"/>
        <w:right w:val="none" w:sz="0" w:space="0" w:color="auto"/>
      </w:divBdr>
    </w:div>
    <w:div w:id="1021782695">
      <w:bodyDiv w:val="1"/>
      <w:marLeft w:val="0"/>
      <w:marRight w:val="0"/>
      <w:marTop w:val="0"/>
      <w:marBottom w:val="0"/>
      <w:divBdr>
        <w:top w:val="none" w:sz="0" w:space="0" w:color="auto"/>
        <w:left w:val="none" w:sz="0" w:space="0" w:color="auto"/>
        <w:bottom w:val="none" w:sz="0" w:space="0" w:color="auto"/>
        <w:right w:val="none" w:sz="0" w:space="0" w:color="auto"/>
      </w:divBdr>
    </w:div>
    <w:div w:id="1311399534">
      <w:bodyDiv w:val="1"/>
      <w:marLeft w:val="0"/>
      <w:marRight w:val="0"/>
      <w:marTop w:val="0"/>
      <w:marBottom w:val="0"/>
      <w:divBdr>
        <w:top w:val="none" w:sz="0" w:space="0" w:color="auto"/>
        <w:left w:val="none" w:sz="0" w:space="0" w:color="auto"/>
        <w:bottom w:val="none" w:sz="0" w:space="0" w:color="auto"/>
        <w:right w:val="none" w:sz="0" w:space="0" w:color="auto"/>
      </w:divBdr>
    </w:div>
    <w:div w:id="1323658305">
      <w:bodyDiv w:val="1"/>
      <w:marLeft w:val="0"/>
      <w:marRight w:val="0"/>
      <w:marTop w:val="0"/>
      <w:marBottom w:val="0"/>
      <w:divBdr>
        <w:top w:val="none" w:sz="0" w:space="0" w:color="auto"/>
        <w:left w:val="none" w:sz="0" w:space="0" w:color="auto"/>
        <w:bottom w:val="none" w:sz="0" w:space="0" w:color="auto"/>
        <w:right w:val="none" w:sz="0" w:space="0" w:color="auto"/>
      </w:divBdr>
    </w:div>
    <w:div w:id="18219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t>Shoreham  Village- Occupancy Rates by Month</a:t>
            </a:r>
            <a:endParaRPr lang="en-US" sz="1200"/>
          </a:p>
          <a:p>
            <a:pPr>
              <a:defRPr/>
            </a:pPr>
            <a:r>
              <a:rPr lang="en-US" sz="1200" b="1" i="0" baseline="0"/>
              <a:t>(Q4 Jan - March 22/23)</a:t>
            </a:r>
          </a:p>
        </c:rich>
      </c:tx>
      <c:layout/>
      <c:overlay val="0"/>
    </c:title>
    <c:autoTitleDeleted val="0"/>
    <c:plotArea>
      <c:layout/>
      <c:barChart>
        <c:barDir val="col"/>
        <c:grouping val="clustered"/>
        <c:varyColors val="0"/>
        <c:ser>
          <c:idx val="0"/>
          <c:order val="0"/>
          <c:tx>
            <c:strRef>
              <c:f>Sheet1!$B$1</c:f>
              <c:strCache>
                <c:ptCount val="1"/>
                <c:pt idx="0">
                  <c:v>Occupancy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January</c:v>
                </c:pt>
                <c:pt idx="1">
                  <c:v>February</c:v>
                </c:pt>
                <c:pt idx="2">
                  <c:v>March</c:v>
                </c:pt>
              </c:strCache>
            </c:strRef>
          </c:cat>
          <c:val>
            <c:numRef>
              <c:f>Sheet1!$B$2:$B$4</c:f>
              <c:numCache>
                <c:formatCode>0.0%</c:formatCode>
                <c:ptCount val="3"/>
                <c:pt idx="0">
                  <c:v>0.98799999999999999</c:v>
                </c:pt>
                <c:pt idx="1">
                  <c:v>0.98499999999999999</c:v>
                </c:pt>
                <c:pt idx="2">
                  <c:v>0.98899999999999999</c:v>
                </c:pt>
              </c:numCache>
            </c:numRef>
          </c:val>
          <c:extLst>
            <c:ext xmlns:c16="http://schemas.microsoft.com/office/drawing/2014/chart" uri="{C3380CC4-5D6E-409C-BE32-E72D297353CC}">
              <c16:uniqueId val="{00000000-8BC1-4837-9E95-3E8641AEF2E5}"/>
            </c:ext>
          </c:extLst>
        </c:ser>
        <c:dLbls>
          <c:showLegendKey val="0"/>
          <c:showVal val="0"/>
          <c:showCatName val="0"/>
          <c:showSerName val="0"/>
          <c:showPercent val="0"/>
          <c:showBubbleSize val="0"/>
        </c:dLbls>
        <c:gapWidth val="150"/>
        <c:axId val="146019072"/>
        <c:axId val="146064128"/>
      </c:barChart>
      <c:catAx>
        <c:axId val="146019072"/>
        <c:scaling>
          <c:orientation val="minMax"/>
        </c:scaling>
        <c:delete val="0"/>
        <c:axPos val="b"/>
        <c:numFmt formatCode="General" sourceLinked="0"/>
        <c:majorTickMark val="out"/>
        <c:minorTickMark val="none"/>
        <c:tickLblPos val="nextTo"/>
        <c:crossAx val="146064128"/>
        <c:crosses val="autoZero"/>
        <c:auto val="1"/>
        <c:lblAlgn val="ctr"/>
        <c:lblOffset val="100"/>
        <c:noMultiLvlLbl val="0"/>
      </c:catAx>
      <c:valAx>
        <c:axId val="146064128"/>
        <c:scaling>
          <c:orientation val="minMax"/>
          <c:max val="1"/>
          <c:min val="0.85000000000000009"/>
        </c:scaling>
        <c:delete val="0"/>
        <c:axPos val="l"/>
        <c:majorGridlines/>
        <c:numFmt formatCode="0.0%" sourceLinked="1"/>
        <c:majorTickMark val="out"/>
        <c:minorTickMark val="none"/>
        <c:tickLblPos val="nextTo"/>
        <c:crossAx val="146019072"/>
        <c:crosses val="autoZero"/>
        <c:crossBetween val="between"/>
        <c:majorUnit val="0.05"/>
        <c:minorUnit val="4.0000000000000034E-4"/>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200" b="1" i="0" baseline="0"/>
              <a:t>Shoreham Village - Camparison by Quarter</a:t>
            </a:r>
          </a:p>
          <a:p>
            <a:pPr algn="ctr">
              <a:defRPr/>
            </a:pPr>
            <a:r>
              <a:rPr lang="en-US" sz="1200" b="1" i="0" u="none" strike="noStrike" kern="1200" baseline="0">
                <a:solidFill>
                  <a:sysClr val="windowText" lastClr="000000"/>
                </a:solidFill>
                <a:latin typeface="+mn-lt"/>
                <a:ea typeface="+mn-ea"/>
                <a:cs typeface="+mn-cs"/>
              </a:rPr>
              <a:t>2021/22</a:t>
            </a:r>
            <a:r>
              <a:rPr lang="en-US" sz="1200" b="1" i="0" baseline="0"/>
              <a:t> vs 2022/23</a:t>
            </a:r>
          </a:p>
        </c:rich>
      </c:tx>
      <c:layout>
        <c:manualLayout>
          <c:xMode val="edge"/>
          <c:yMode val="edge"/>
          <c:x val="0.2779744459025959"/>
          <c:y val="3.5714285714285712E-2"/>
        </c:manualLayout>
      </c:layout>
      <c:overlay val="0"/>
    </c:title>
    <c:autoTitleDeleted val="0"/>
    <c:plotArea>
      <c:layout/>
      <c:barChart>
        <c:barDir val="col"/>
        <c:grouping val="clustered"/>
        <c:varyColors val="0"/>
        <c:ser>
          <c:idx val="0"/>
          <c:order val="0"/>
          <c:tx>
            <c:strRef>
              <c:f>Sheet1!$B$1</c:f>
              <c:strCache>
                <c:ptCount val="1"/>
                <c:pt idx="0">
                  <c:v>2021/22</c:v>
                </c:pt>
              </c:strCache>
            </c:strRef>
          </c:tx>
          <c:spPr>
            <a:solidFill>
              <a:srgbClr val="FF0000"/>
            </a:solidFill>
          </c:spPr>
          <c:invertIfNegative val="0"/>
          <c:dLbls>
            <c:spPr>
              <a:noFill/>
              <a:ln>
                <a:noFill/>
              </a:ln>
              <a:effectLst/>
            </c:spPr>
            <c:txPr>
              <a:bodyPr rot="0" vert="horz" wrap="square" lIns="38100" tIns="19050" rIns="38100" bIns="19050" anchor="ctr">
                <a:spAutoFit/>
              </a:bodyPr>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1st Qrt</c:v>
                </c:pt>
                <c:pt idx="1">
                  <c:v>2nd Qrt</c:v>
                </c:pt>
                <c:pt idx="2">
                  <c:v>3rd Qrt</c:v>
                </c:pt>
                <c:pt idx="3">
                  <c:v>4th Qrt</c:v>
                </c:pt>
              </c:strCache>
            </c:strRef>
          </c:cat>
          <c:val>
            <c:numRef>
              <c:f>Sheet1!$B$2:$B$5</c:f>
              <c:numCache>
                <c:formatCode>0.00%</c:formatCode>
                <c:ptCount val="4"/>
                <c:pt idx="0">
                  <c:v>0.93320000000000003</c:v>
                </c:pt>
                <c:pt idx="1">
                  <c:v>0.94569999999999999</c:v>
                </c:pt>
                <c:pt idx="2">
                  <c:v>0.94769999999999999</c:v>
                </c:pt>
                <c:pt idx="3">
                  <c:v>0.91069999999999995</c:v>
                </c:pt>
              </c:numCache>
            </c:numRef>
          </c:val>
          <c:extLst>
            <c:ext xmlns:c16="http://schemas.microsoft.com/office/drawing/2014/chart" uri="{C3380CC4-5D6E-409C-BE32-E72D297353CC}">
              <c16:uniqueId val="{00000000-675F-493E-8E45-4B05A1192CCD}"/>
            </c:ext>
          </c:extLst>
        </c:ser>
        <c:ser>
          <c:idx val="1"/>
          <c:order val="1"/>
          <c:tx>
            <c:strRef>
              <c:f>Sheet1!$C$1</c:f>
              <c:strCache>
                <c:ptCount val="1"/>
                <c:pt idx="0">
                  <c:v>2022/23</c:v>
                </c:pt>
              </c:strCache>
            </c:strRef>
          </c:tx>
          <c:spPr>
            <a:solidFill>
              <a:srgbClr val="0070C0"/>
            </a:solidFill>
          </c:spPr>
          <c:invertIfNegative val="0"/>
          <c:dLbls>
            <c:spPr>
              <a:noFill/>
              <a:ln>
                <a:noFill/>
              </a:ln>
              <a:effectLst/>
            </c:spPr>
            <c:txPr>
              <a:bodyPr rot="0" vert="horz" wrap="square" lIns="182880" tIns="19050" rIns="38100" bIns="19050" anchor="ctr">
                <a:spAutoFit/>
              </a:bodyPr>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0"/>
              </c:ext>
            </c:extLst>
          </c:dLbls>
          <c:cat>
            <c:strRef>
              <c:f>Sheet1!$A$2:$A$5</c:f>
              <c:strCache>
                <c:ptCount val="4"/>
                <c:pt idx="0">
                  <c:v>1st Qrt</c:v>
                </c:pt>
                <c:pt idx="1">
                  <c:v>2nd Qrt</c:v>
                </c:pt>
                <c:pt idx="2">
                  <c:v>3rd Qrt</c:v>
                </c:pt>
                <c:pt idx="3">
                  <c:v>4th Qrt</c:v>
                </c:pt>
              </c:strCache>
            </c:strRef>
          </c:cat>
          <c:val>
            <c:numRef>
              <c:f>Sheet1!$C$2:$C$5</c:f>
              <c:numCache>
                <c:formatCode>0.00%</c:formatCode>
                <c:ptCount val="4"/>
                <c:pt idx="0">
                  <c:v>0.94899999999999995</c:v>
                </c:pt>
                <c:pt idx="1">
                  <c:v>0.95599999999999996</c:v>
                </c:pt>
                <c:pt idx="2">
                  <c:v>0.98199999999999998</c:v>
                </c:pt>
                <c:pt idx="3">
                  <c:v>0.98699999999999999</c:v>
                </c:pt>
              </c:numCache>
            </c:numRef>
          </c:val>
          <c:extLst>
            <c:ext xmlns:c16="http://schemas.microsoft.com/office/drawing/2014/chart" uri="{C3380CC4-5D6E-409C-BE32-E72D297353CC}">
              <c16:uniqueId val="{00000001-675F-493E-8E45-4B05A1192CCD}"/>
            </c:ext>
          </c:extLst>
        </c:ser>
        <c:dLbls>
          <c:showLegendKey val="0"/>
          <c:showVal val="0"/>
          <c:showCatName val="0"/>
          <c:showSerName val="0"/>
          <c:showPercent val="0"/>
          <c:showBubbleSize val="0"/>
        </c:dLbls>
        <c:gapWidth val="150"/>
        <c:axId val="154808320"/>
        <c:axId val="154994176"/>
      </c:barChart>
      <c:catAx>
        <c:axId val="154808320"/>
        <c:scaling>
          <c:orientation val="minMax"/>
        </c:scaling>
        <c:delete val="0"/>
        <c:axPos val="b"/>
        <c:numFmt formatCode="General" sourceLinked="0"/>
        <c:majorTickMark val="none"/>
        <c:minorTickMark val="none"/>
        <c:tickLblPos val="nextTo"/>
        <c:crossAx val="154994176"/>
        <c:crosses val="autoZero"/>
        <c:auto val="1"/>
        <c:lblAlgn val="ctr"/>
        <c:lblOffset val="100"/>
        <c:noMultiLvlLbl val="0"/>
      </c:catAx>
      <c:valAx>
        <c:axId val="154994176"/>
        <c:scaling>
          <c:orientation val="minMax"/>
          <c:max val="1"/>
          <c:min val="0.9"/>
        </c:scaling>
        <c:delete val="0"/>
        <c:axPos val="l"/>
        <c:majorGridlines/>
        <c:minorGridlines/>
        <c:numFmt formatCode="0.00%" sourceLinked="1"/>
        <c:majorTickMark val="none"/>
        <c:minorTickMark val="none"/>
        <c:tickLblPos val="nextTo"/>
        <c:crossAx val="154808320"/>
        <c:crosses val="autoZero"/>
        <c:crossBetween val="between"/>
        <c:majorUnit val="0.05"/>
        <c:minorUnit val="1.0000000000000005E-2"/>
      </c:valAx>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 </a:t>
            </a:r>
            <a:r>
              <a:rPr lang="en-US" sz="1400" b="1" i="0" baseline="0">
                <a:effectLst/>
              </a:rPr>
              <a:t>Shoreham Village - </a:t>
            </a:r>
            <a:r>
              <a:rPr lang="en-US" sz="1400" b="1" i="0" u="none" strike="noStrike" baseline="0">
                <a:effectLst/>
              </a:rPr>
              <a:t>Number of Incidents</a:t>
            </a:r>
            <a:endParaRPr lang="en-US" b="1"/>
          </a:p>
        </c:rich>
      </c:tx>
      <c:layout>
        <c:manualLayout>
          <c:xMode val="edge"/>
          <c:yMode val="edge"/>
          <c:x val="0.28627604197877121"/>
          <c:y val="3.7348272642390296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Q4 21/22</c:v>
                </c:pt>
              </c:strCache>
            </c:strRef>
          </c:tx>
          <c:spPr>
            <a:pattFill prst="pct60">
              <a:fgClr>
                <a:schemeClr val="tx2">
                  <a:lumMod val="75000"/>
                </a:schemeClr>
              </a:fgClr>
              <a:bgClr>
                <a:schemeClr val="bg1"/>
              </a:bgClr>
            </a:patt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Behaviours</c:v>
                </c:pt>
                <c:pt idx="1">
                  <c:v>Falls</c:v>
                </c:pt>
                <c:pt idx="2">
                  <c:v>Med Errors</c:v>
                </c:pt>
                <c:pt idx="3">
                  <c:v>Other</c:v>
                </c:pt>
              </c:strCache>
            </c:strRef>
          </c:cat>
          <c:val>
            <c:numRef>
              <c:f>Sheet1!$B$2:$B$5</c:f>
              <c:numCache>
                <c:formatCode>General</c:formatCode>
                <c:ptCount val="4"/>
                <c:pt idx="0">
                  <c:v>37</c:v>
                </c:pt>
                <c:pt idx="1">
                  <c:v>47</c:v>
                </c:pt>
                <c:pt idx="2">
                  <c:v>21</c:v>
                </c:pt>
                <c:pt idx="3">
                  <c:v>41</c:v>
                </c:pt>
              </c:numCache>
            </c:numRef>
          </c:val>
          <c:extLst>
            <c:ext xmlns:c16="http://schemas.microsoft.com/office/drawing/2014/chart" uri="{C3380CC4-5D6E-409C-BE32-E72D297353CC}">
              <c16:uniqueId val="{00000000-D166-4266-9D7B-F189F710A54F}"/>
            </c:ext>
          </c:extLst>
        </c:ser>
        <c:ser>
          <c:idx val="1"/>
          <c:order val="1"/>
          <c:tx>
            <c:strRef>
              <c:f>Sheet1!$C$1</c:f>
              <c:strCache>
                <c:ptCount val="1"/>
                <c:pt idx="0">
                  <c:v>Q1 22/23</c:v>
                </c:pt>
              </c:strCache>
            </c:strRef>
          </c:tx>
          <c:spPr>
            <a:solidFill>
              <a:srgbClr val="C00000"/>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Behaviours</c:v>
                </c:pt>
                <c:pt idx="1">
                  <c:v>Falls</c:v>
                </c:pt>
                <c:pt idx="2">
                  <c:v>Med Errors</c:v>
                </c:pt>
                <c:pt idx="3">
                  <c:v>Other</c:v>
                </c:pt>
              </c:strCache>
            </c:strRef>
          </c:cat>
          <c:val>
            <c:numRef>
              <c:f>Sheet1!$C$2:$C$5</c:f>
              <c:numCache>
                <c:formatCode>General</c:formatCode>
                <c:ptCount val="4"/>
                <c:pt idx="0">
                  <c:v>52</c:v>
                </c:pt>
                <c:pt idx="1">
                  <c:v>46</c:v>
                </c:pt>
                <c:pt idx="2">
                  <c:v>26</c:v>
                </c:pt>
                <c:pt idx="3">
                  <c:v>42</c:v>
                </c:pt>
              </c:numCache>
            </c:numRef>
          </c:val>
          <c:extLst>
            <c:ext xmlns:c16="http://schemas.microsoft.com/office/drawing/2014/chart" uri="{C3380CC4-5D6E-409C-BE32-E72D297353CC}">
              <c16:uniqueId val="{00000001-D166-4266-9D7B-F189F710A54F}"/>
            </c:ext>
          </c:extLst>
        </c:ser>
        <c:ser>
          <c:idx val="2"/>
          <c:order val="2"/>
          <c:tx>
            <c:strRef>
              <c:f>Sheet1!$D$1</c:f>
              <c:strCache>
                <c:ptCount val="1"/>
                <c:pt idx="0">
                  <c:v>Q2 22/23</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Behaviours</c:v>
                </c:pt>
                <c:pt idx="1">
                  <c:v>Falls</c:v>
                </c:pt>
                <c:pt idx="2">
                  <c:v>Med Errors</c:v>
                </c:pt>
                <c:pt idx="3">
                  <c:v>Other</c:v>
                </c:pt>
              </c:strCache>
            </c:strRef>
          </c:cat>
          <c:val>
            <c:numRef>
              <c:f>Sheet1!$D$2:$D$5</c:f>
              <c:numCache>
                <c:formatCode>General</c:formatCode>
                <c:ptCount val="4"/>
                <c:pt idx="0">
                  <c:v>36</c:v>
                </c:pt>
                <c:pt idx="1">
                  <c:v>45</c:v>
                </c:pt>
                <c:pt idx="2">
                  <c:v>15</c:v>
                </c:pt>
                <c:pt idx="3">
                  <c:v>39</c:v>
                </c:pt>
              </c:numCache>
            </c:numRef>
          </c:val>
          <c:extLst>
            <c:ext xmlns:c16="http://schemas.microsoft.com/office/drawing/2014/chart" uri="{C3380CC4-5D6E-409C-BE32-E72D297353CC}">
              <c16:uniqueId val="{00000002-D166-4266-9D7B-F189F710A54F}"/>
            </c:ext>
          </c:extLst>
        </c:ser>
        <c:ser>
          <c:idx val="3"/>
          <c:order val="3"/>
          <c:tx>
            <c:strRef>
              <c:f>Sheet1!$E$1</c:f>
              <c:strCache>
                <c:ptCount val="1"/>
                <c:pt idx="0">
                  <c:v>Q3 22/23</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Behaviours</c:v>
                </c:pt>
                <c:pt idx="1">
                  <c:v>Falls</c:v>
                </c:pt>
                <c:pt idx="2">
                  <c:v>Med Errors</c:v>
                </c:pt>
                <c:pt idx="3">
                  <c:v>Other</c:v>
                </c:pt>
              </c:strCache>
            </c:strRef>
          </c:cat>
          <c:val>
            <c:numRef>
              <c:f>Sheet1!$E$2:$E$5</c:f>
              <c:numCache>
                <c:formatCode>General</c:formatCode>
                <c:ptCount val="4"/>
                <c:pt idx="0">
                  <c:v>30</c:v>
                </c:pt>
                <c:pt idx="1">
                  <c:v>34</c:v>
                </c:pt>
                <c:pt idx="2">
                  <c:v>12</c:v>
                </c:pt>
                <c:pt idx="3">
                  <c:v>10</c:v>
                </c:pt>
              </c:numCache>
            </c:numRef>
          </c:val>
          <c:extLst>
            <c:ext xmlns:c16="http://schemas.microsoft.com/office/drawing/2014/chart" uri="{C3380CC4-5D6E-409C-BE32-E72D297353CC}">
              <c16:uniqueId val="{00000003-D166-4266-9D7B-F189F710A54F}"/>
            </c:ext>
          </c:extLst>
        </c:ser>
        <c:ser>
          <c:idx val="4"/>
          <c:order val="4"/>
          <c:tx>
            <c:strRef>
              <c:f>Sheet1!$F$1</c:f>
              <c:strCache>
                <c:ptCount val="1"/>
                <c:pt idx="0">
                  <c:v>Q4 22/23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Behaviours</c:v>
                </c:pt>
                <c:pt idx="1">
                  <c:v>Falls</c:v>
                </c:pt>
                <c:pt idx="2">
                  <c:v>Med Errors</c:v>
                </c:pt>
                <c:pt idx="3">
                  <c:v>Other</c:v>
                </c:pt>
              </c:strCache>
            </c:strRef>
          </c:cat>
          <c:val>
            <c:numRef>
              <c:f>Sheet1!$F$2:$F$5</c:f>
              <c:numCache>
                <c:formatCode>General</c:formatCode>
                <c:ptCount val="4"/>
                <c:pt idx="0">
                  <c:v>55</c:v>
                </c:pt>
                <c:pt idx="1">
                  <c:v>58</c:v>
                </c:pt>
                <c:pt idx="2">
                  <c:v>18</c:v>
                </c:pt>
                <c:pt idx="3">
                  <c:v>32</c:v>
                </c:pt>
              </c:numCache>
            </c:numRef>
          </c:val>
          <c:extLst>
            <c:ext xmlns:c16="http://schemas.microsoft.com/office/drawing/2014/chart" uri="{C3380CC4-5D6E-409C-BE32-E72D297353CC}">
              <c16:uniqueId val="{00000004-D166-4266-9D7B-F189F710A54F}"/>
            </c:ext>
          </c:extLst>
        </c:ser>
        <c:dLbls>
          <c:showLegendKey val="0"/>
          <c:showVal val="0"/>
          <c:showCatName val="0"/>
          <c:showSerName val="0"/>
          <c:showPercent val="0"/>
          <c:showBubbleSize val="0"/>
        </c:dLbls>
        <c:gapWidth val="150"/>
        <c:axId val="166725888"/>
        <c:axId val="176290048"/>
      </c:barChart>
      <c:catAx>
        <c:axId val="16672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290048"/>
        <c:crosses val="autoZero"/>
        <c:auto val="1"/>
        <c:lblAlgn val="ctr"/>
        <c:lblOffset val="100"/>
        <c:noMultiLvlLbl val="0"/>
      </c:catAx>
      <c:valAx>
        <c:axId val="176290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7258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Shoreham Village - Resident Incident Rate per 1000 Bed Days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Q4 21/22</c:v>
                </c:pt>
              </c:strCache>
            </c:strRef>
          </c:tx>
          <c:spPr>
            <a:pattFill prst="pct60">
              <a:fgClr>
                <a:schemeClr val="tx2">
                  <a:lumMod val="75000"/>
                </a:schemeClr>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Responsive Behaviours</c:v>
                </c:pt>
                <c:pt idx="1">
                  <c:v>Falls</c:v>
                </c:pt>
                <c:pt idx="2">
                  <c:v>Medication Errors</c:v>
                </c:pt>
                <c:pt idx="3">
                  <c:v>Other</c:v>
                </c:pt>
              </c:strCache>
            </c:strRef>
          </c:cat>
          <c:val>
            <c:numRef>
              <c:f>Sheet1!$B$2:$B$5</c:f>
              <c:numCache>
                <c:formatCode>General</c:formatCode>
                <c:ptCount val="4"/>
                <c:pt idx="0">
                  <c:v>5.07</c:v>
                </c:pt>
                <c:pt idx="1">
                  <c:v>6.44</c:v>
                </c:pt>
                <c:pt idx="2">
                  <c:v>2.87</c:v>
                </c:pt>
                <c:pt idx="3">
                  <c:v>5.62</c:v>
                </c:pt>
              </c:numCache>
            </c:numRef>
          </c:val>
          <c:extLst>
            <c:ext xmlns:c16="http://schemas.microsoft.com/office/drawing/2014/chart" uri="{C3380CC4-5D6E-409C-BE32-E72D297353CC}">
              <c16:uniqueId val="{00000000-93B4-47E4-865F-444A6FA40218}"/>
            </c:ext>
          </c:extLst>
        </c:ser>
        <c:ser>
          <c:idx val="1"/>
          <c:order val="1"/>
          <c:tx>
            <c:strRef>
              <c:f>Sheet1!$C$1</c:f>
              <c:strCache>
                <c:ptCount val="1"/>
                <c:pt idx="0">
                  <c:v>Q1 22/23</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Responsive Behaviours</c:v>
                </c:pt>
                <c:pt idx="1">
                  <c:v>Falls</c:v>
                </c:pt>
                <c:pt idx="2">
                  <c:v>Medication Errors</c:v>
                </c:pt>
                <c:pt idx="3">
                  <c:v>Other</c:v>
                </c:pt>
              </c:strCache>
            </c:strRef>
          </c:cat>
          <c:val>
            <c:numRef>
              <c:f>Sheet1!$C$2:$C$5</c:f>
              <c:numCache>
                <c:formatCode>General</c:formatCode>
                <c:ptCount val="4"/>
                <c:pt idx="0">
                  <c:v>6.76</c:v>
                </c:pt>
                <c:pt idx="1">
                  <c:v>5.98</c:v>
                </c:pt>
                <c:pt idx="2">
                  <c:v>3.38</c:v>
                </c:pt>
                <c:pt idx="3">
                  <c:v>5.46</c:v>
                </c:pt>
              </c:numCache>
            </c:numRef>
          </c:val>
          <c:extLst>
            <c:ext xmlns:c16="http://schemas.microsoft.com/office/drawing/2014/chart" uri="{C3380CC4-5D6E-409C-BE32-E72D297353CC}">
              <c16:uniqueId val="{00000001-93B4-47E4-865F-444A6FA40218}"/>
            </c:ext>
          </c:extLst>
        </c:ser>
        <c:ser>
          <c:idx val="2"/>
          <c:order val="2"/>
          <c:tx>
            <c:strRef>
              <c:f>Sheet1!$D$1</c:f>
              <c:strCache>
                <c:ptCount val="1"/>
                <c:pt idx="0">
                  <c:v>Q2 22/23</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Responsive Behaviours</c:v>
                </c:pt>
                <c:pt idx="1">
                  <c:v>Falls</c:v>
                </c:pt>
                <c:pt idx="2">
                  <c:v>Medication Errors</c:v>
                </c:pt>
                <c:pt idx="3">
                  <c:v>Other</c:v>
                </c:pt>
              </c:strCache>
            </c:strRef>
          </c:cat>
          <c:val>
            <c:numRef>
              <c:f>Sheet1!$D$2:$D$5</c:f>
              <c:numCache>
                <c:formatCode>General</c:formatCode>
                <c:ptCount val="4"/>
                <c:pt idx="0">
                  <c:v>4.3899999999999997</c:v>
                </c:pt>
                <c:pt idx="1">
                  <c:v>5.49</c:v>
                </c:pt>
                <c:pt idx="2">
                  <c:v>1.83</c:v>
                </c:pt>
                <c:pt idx="3">
                  <c:v>4.76</c:v>
                </c:pt>
              </c:numCache>
            </c:numRef>
          </c:val>
          <c:extLst>
            <c:ext xmlns:c16="http://schemas.microsoft.com/office/drawing/2014/chart" uri="{C3380CC4-5D6E-409C-BE32-E72D297353CC}">
              <c16:uniqueId val="{00000002-93B4-47E4-865F-444A6FA40218}"/>
            </c:ext>
          </c:extLst>
        </c:ser>
        <c:ser>
          <c:idx val="3"/>
          <c:order val="3"/>
          <c:tx>
            <c:strRef>
              <c:f>Sheet1!$E$1</c:f>
              <c:strCache>
                <c:ptCount val="1"/>
                <c:pt idx="0">
                  <c:v>Q3 22/23</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Responsive Behaviours</c:v>
                </c:pt>
                <c:pt idx="1">
                  <c:v>Falls</c:v>
                </c:pt>
                <c:pt idx="2">
                  <c:v>Medication Errors</c:v>
                </c:pt>
                <c:pt idx="3">
                  <c:v>Other</c:v>
                </c:pt>
              </c:strCache>
            </c:strRef>
          </c:cat>
          <c:val>
            <c:numRef>
              <c:f>Sheet1!$E$2:$E$5</c:f>
              <c:numCache>
                <c:formatCode>General</c:formatCode>
                <c:ptCount val="4"/>
                <c:pt idx="0">
                  <c:v>3.73</c:v>
                </c:pt>
                <c:pt idx="1">
                  <c:v>4.22</c:v>
                </c:pt>
                <c:pt idx="2">
                  <c:v>1.49</c:v>
                </c:pt>
                <c:pt idx="3">
                  <c:v>1.2</c:v>
                </c:pt>
              </c:numCache>
            </c:numRef>
          </c:val>
          <c:extLst>
            <c:ext xmlns:c16="http://schemas.microsoft.com/office/drawing/2014/chart" uri="{C3380CC4-5D6E-409C-BE32-E72D297353CC}">
              <c16:uniqueId val="{00000003-93B4-47E4-865F-444A6FA40218}"/>
            </c:ext>
          </c:extLst>
        </c:ser>
        <c:ser>
          <c:idx val="4"/>
          <c:order val="4"/>
          <c:tx>
            <c:strRef>
              <c:f>Sheet1!$F$1</c:f>
              <c:strCache>
                <c:ptCount val="1"/>
                <c:pt idx="0">
                  <c:v>Q4 22/23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Responsive Behaviours</c:v>
                </c:pt>
                <c:pt idx="1">
                  <c:v>Falls</c:v>
                </c:pt>
                <c:pt idx="2">
                  <c:v>Medication Errors</c:v>
                </c:pt>
                <c:pt idx="3">
                  <c:v>Other</c:v>
                </c:pt>
              </c:strCache>
            </c:strRef>
          </c:cat>
          <c:val>
            <c:numRef>
              <c:f>Sheet1!$F$2:$F$5</c:f>
              <c:numCache>
                <c:formatCode>General</c:formatCode>
                <c:ptCount val="4"/>
                <c:pt idx="0">
                  <c:v>6.86</c:v>
                </c:pt>
                <c:pt idx="1">
                  <c:v>7.24</c:v>
                </c:pt>
                <c:pt idx="2">
                  <c:v>2.2400000000000002</c:v>
                </c:pt>
                <c:pt idx="3">
                  <c:v>3.99</c:v>
                </c:pt>
              </c:numCache>
            </c:numRef>
          </c:val>
          <c:extLst>
            <c:ext xmlns:c16="http://schemas.microsoft.com/office/drawing/2014/chart" uri="{C3380CC4-5D6E-409C-BE32-E72D297353CC}">
              <c16:uniqueId val="{00000004-93B4-47E4-865F-444A6FA40218}"/>
            </c:ext>
          </c:extLst>
        </c:ser>
        <c:dLbls>
          <c:showLegendKey val="0"/>
          <c:showVal val="0"/>
          <c:showCatName val="0"/>
          <c:showSerName val="0"/>
          <c:showPercent val="0"/>
          <c:showBubbleSize val="0"/>
        </c:dLbls>
        <c:gapWidth val="150"/>
        <c:axId val="228195712"/>
        <c:axId val="229140352"/>
      </c:barChart>
      <c:catAx>
        <c:axId val="22819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140352"/>
        <c:crosses val="autoZero"/>
        <c:auto val="1"/>
        <c:lblAlgn val="ctr"/>
        <c:lblOffset val="100"/>
        <c:noMultiLvlLbl val="0"/>
      </c:catAx>
      <c:valAx>
        <c:axId val="22914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195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i="0" baseline="0">
                <a:effectLst/>
              </a:rPr>
              <a:t>Shoreham Village - </a:t>
            </a:r>
            <a:r>
              <a:rPr lang="en-US" sz="1200"/>
              <a:t>Resident</a:t>
            </a:r>
            <a:r>
              <a:rPr lang="en-US" sz="1200" baseline="0"/>
              <a:t> Infections </a:t>
            </a:r>
            <a:endParaRPr lang="en-US" sz="1200"/>
          </a:p>
        </c:rich>
      </c:tx>
      <c:layout/>
      <c:overlay val="0"/>
    </c:title>
    <c:autoTitleDeleted val="0"/>
    <c:plotArea>
      <c:layout/>
      <c:barChart>
        <c:barDir val="col"/>
        <c:grouping val="clustered"/>
        <c:varyColors val="0"/>
        <c:ser>
          <c:idx val="0"/>
          <c:order val="0"/>
          <c:tx>
            <c:strRef>
              <c:f>Sheet1!$B$1</c:f>
              <c:strCache>
                <c:ptCount val="1"/>
                <c:pt idx="0">
                  <c:v>Q4 21/22</c:v>
                </c:pt>
              </c:strCache>
            </c:strRef>
          </c:tx>
          <c:spPr>
            <a:solidFill>
              <a:schemeClr val="tx2">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Resp</c:v>
                </c:pt>
                <c:pt idx="1">
                  <c:v>UTI</c:v>
                </c:pt>
                <c:pt idx="2">
                  <c:v>Skin</c:v>
                </c:pt>
                <c:pt idx="3">
                  <c:v>Gastro</c:v>
                </c:pt>
                <c:pt idx="4">
                  <c:v>Other</c:v>
                </c:pt>
              </c:strCache>
            </c:strRef>
          </c:cat>
          <c:val>
            <c:numRef>
              <c:f>Sheet1!$B$2:$B$6</c:f>
              <c:numCache>
                <c:formatCode>General</c:formatCode>
                <c:ptCount val="5"/>
                <c:pt idx="0">
                  <c:v>64</c:v>
                </c:pt>
                <c:pt idx="1">
                  <c:v>2</c:v>
                </c:pt>
                <c:pt idx="2">
                  <c:v>2</c:v>
                </c:pt>
                <c:pt idx="3">
                  <c:v>0</c:v>
                </c:pt>
                <c:pt idx="4">
                  <c:v>3</c:v>
                </c:pt>
              </c:numCache>
            </c:numRef>
          </c:val>
          <c:extLst>
            <c:ext xmlns:c16="http://schemas.microsoft.com/office/drawing/2014/chart" uri="{C3380CC4-5D6E-409C-BE32-E72D297353CC}">
              <c16:uniqueId val="{00000000-7397-493A-AB68-FA8D0BB1A0B0}"/>
            </c:ext>
          </c:extLst>
        </c:ser>
        <c:ser>
          <c:idx val="1"/>
          <c:order val="1"/>
          <c:tx>
            <c:strRef>
              <c:f>Sheet1!$C$1</c:f>
              <c:strCache>
                <c:ptCount val="1"/>
                <c:pt idx="0">
                  <c:v>Q1 22/23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Resp</c:v>
                </c:pt>
                <c:pt idx="1">
                  <c:v>UTI</c:v>
                </c:pt>
                <c:pt idx="2">
                  <c:v>Skin</c:v>
                </c:pt>
                <c:pt idx="3">
                  <c:v>Gastro</c:v>
                </c:pt>
                <c:pt idx="4">
                  <c:v>Other</c:v>
                </c:pt>
              </c:strCache>
            </c:strRef>
          </c:cat>
          <c:val>
            <c:numRef>
              <c:f>Sheet1!$C$2:$C$6</c:f>
              <c:numCache>
                <c:formatCode>General</c:formatCode>
                <c:ptCount val="5"/>
                <c:pt idx="0">
                  <c:v>1</c:v>
                </c:pt>
                <c:pt idx="1">
                  <c:v>8</c:v>
                </c:pt>
                <c:pt idx="2">
                  <c:v>1</c:v>
                </c:pt>
                <c:pt idx="3">
                  <c:v>0</c:v>
                </c:pt>
                <c:pt idx="4">
                  <c:v>6</c:v>
                </c:pt>
              </c:numCache>
            </c:numRef>
          </c:val>
          <c:extLst>
            <c:ext xmlns:c16="http://schemas.microsoft.com/office/drawing/2014/chart" uri="{C3380CC4-5D6E-409C-BE32-E72D297353CC}">
              <c16:uniqueId val="{00000001-7397-493A-AB68-FA8D0BB1A0B0}"/>
            </c:ext>
          </c:extLst>
        </c:ser>
        <c:ser>
          <c:idx val="2"/>
          <c:order val="2"/>
          <c:tx>
            <c:strRef>
              <c:f>Sheet1!$D$1</c:f>
              <c:strCache>
                <c:ptCount val="1"/>
                <c:pt idx="0">
                  <c:v>Q2 22/23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Resp</c:v>
                </c:pt>
                <c:pt idx="1">
                  <c:v>UTI</c:v>
                </c:pt>
                <c:pt idx="2">
                  <c:v>Skin</c:v>
                </c:pt>
                <c:pt idx="3">
                  <c:v>Gastro</c:v>
                </c:pt>
                <c:pt idx="4">
                  <c:v>Other</c:v>
                </c:pt>
              </c:strCache>
            </c:strRef>
          </c:cat>
          <c:val>
            <c:numRef>
              <c:f>Sheet1!$D$2:$D$6</c:f>
              <c:numCache>
                <c:formatCode>General</c:formatCode>
                <c:ptCount val="5"/>
                <c:pt idx="0">
                  <c:v>2</c:v>
                </c:pt>
                <c:pt idx="1">
                  <c:v>5</c:v>
                </c:pt>
                <c:pt idx="2">
                  <c:v>2</c:v>
                </c:pt>
                <c:pt idx="3">
                  <c:v>2</c:v>
                </c:pt>
                <c:pt idx="4">
                  <c:v>1</c:v>
                </c:pt>
              </c:numCache>
            </c:numRef>
          </c:val>
          <c:extLst>
            <c:ext xmlns:c16="http://schemas.microsoft.com/office/drawing/2014/chart" uri="{C3380CC4-5D6E-409C-BE32-E72D297353CC}">
              <c16:uniqueId val="{00000002-7397-493A-AB68-FA8D0BB1A0B0}"/>
            </c:ext>
          </c:extLst>
        </c:ser>
        <c:ser>
          <c:idx val="3"/>
          <c:order val="3"/>
          <c:tx>
            <c:strRef>
              <c:f>Sheet1!$E$1</c:f>
              <c:strCache>
                <c:ptCount val="1"/>
                <c:pt idx="0">
                  <c:v>Q3 22/23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Resp</c:v>
                </c:pt>
                <c:pt idx="1">
                  <c:v>UTI</c:v>
                </c:pt>
                <c:pt idx="2">
                  <c:v>Skin</c:v>
                </c:pt>
                <c:pt idx="3">
                  <c:v>Gastro</c:v>
                </c:pt>
                <c:pt idx="4">
                  <c:v>Other</c:v>
                </c:pt>
              </c:strCache>
            </c:strRef>
          </c:cat>
          <c:val>
            <c:numRef>
              <c:f>Sheet1!$E$2:$E$6</c:f>
              <c:numCache>
                <c:formatCode>General</c:formatCode>
                <c:ptCount val="5"/>
                <c:pt idx="0">
                  <c:v>5</c:v>
                </c:pt>
                <c:pt idx="1">
                  <c:v>5</c:v>
                </c:pt>
                <c:pt idx="2">
                  <c:v>7</c:v>
                </c:pt>
                <c:pt idx="3">
                  <c:v>0</c:v>
                </c:pt>
                <c:pt idx="4">
                  <c:v>1</c:v>
                </c:pt>
              </c:numCache>
            </c:numRef>
          </c:val>
          <c:extLst>
            <c:ext xmlns:c16="http://schemas.microsoft.com/office/drawing/2014/chart" uri="{C3380CC4-5D6E-409C-BE32-E72D297353CC}">
              <c16:uniqueId val="{00000003-7397-493A-AB68-FA8D0BB1A0B0}"/>
            </c:ext>
          </c:extLst>
        </c:ser>
        <c:ser>
          <c:idx val="4"/>
          <c:order val="4"/>
          <c:tx>
            <c:strRef>
              <c:f>Sheet1!$F$1</c:f>
              <c:strCache>
                <c:ptCount val="1"/>
                <c:pt idx="0">
                  <c:v>Q4 22/23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Sheet1!$A$2:$A$6</c:f>
              <c:strCache>
                <c:ptCount val="5"/>
                <c:pt idx="0">
                  <c:v>Resp</c:v>
                </c:pt>
                <c:pt idx="1">
                  <c:v>UTI</c:v>
                </c:pt>
                <c:pt idx="2">
                  <c:v>Skin</c:v>
                </c:pt>
                <c:pt idx="3">
                  <c:v>Gastro</c:v>
                </c:pt>
                <c:pt idx="4">
                  <c:v>Other</c:v>
                </c:pt>
              </c:strCache>
            </c:strRef>
          </c:cat>
          <c:val>
            <c:numRef>
              <c:f>Sheet1!$F$2:$F$6</c:f>
              <c:numCache>
                <c:formatCode>General</c:formatCode>
                <c:ptCount val="5"/>
                <c:pt idx="0">
                  <c:v>12</c:v>
                </c:pt>
                <c:pt idx="1">
                  <c:v>13</c:v>
                </c:pt>
                <c:pt idx="2">
                  <c:v>12</c:v>
                </c:pt>
                <c:pt idx="3">
                  <c:v>1</c:v>
                </c:pt>
                <c:pt idx="4">
                  <c:v>5</c:v>
                </c:pt>
              </c:numCache>
            </c:numRef>
          </c:val>
          <c:extLst>
            <c:ext xmlns:c16="http://schemas.microsoft.com/office/drawing/2014/chart" uri="{C3380CC4-5D6E-409C-BE32-E72D297353CC}">
              <c16:uniqueId val="{00000004-7397-493A-AB68-FA8D0BB1A0B0}"/>
            </c:ext>
          </c:extLst>
        </c:ser>
        <c:dLbls>
          <c:showLegendKey val="0"/>
          <c:showVal val="0"/>
          <c:showCatName val="0"/>
          <c:showSerName val="0"/>
          <c:showPercent val="0"/>
          <c:showBubbleSize val="0"/>
        </c:dLbls>
        <c:gapWidth val="150"/>
        <c:axId val="231317888"/>
        <c:axId val="233543168"/>
      </c:barChart>
      <c:catAx>
        <c:axId val="231317888"/>
        <c:scaling>
          <c:orientation val="minMax"/>
        </c:scaling>
        <c:delete val="0"/>
        <c:axPos val="b"/>
        <c:numFmt formatCode="General" sourceLinked="0"/>
        <c:majorTickMark val="none"/>
        <c:minorTickMark val="none"/>
        <c:tickLblPos val="nextTo"/>
        <c:crossAx val="233543168"/>
        <c:crosses val="autoZero"/>
        <c:auto val="1"/>
        <c:lblAlgn val="ctr"/>
        <c:lblOffset val="100"/>
        <c:noMultiLvlLbl val="0"/>
      </c:catAx>
      <c:valAx>
        <c:axId val="233543168"/>
        <c:scaling>
          <c:orientation val="minMax"/>
          <c:max val="70"/>
        </c:scaling>
        <c:delete val="0"/>
        <c:axPos val="l"/>
        <c:majorGridlines/>
        <c:numFmt formatCode="General" sourceLinked="1"/>
        <c:majorTickMark val="none"/>
        <c:minorTickMark val="none"/>
        <c:tickLblPos val="nextTo"/>
        <c:crossAx val="23131788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i="0" baseline="0">
                <a:effectLst/>
              </a:rPr>
              <a:t>Shoreham Village - </a:t>
            </a:r>
            <a:r>
              <a:rPr lang="en-US" sz="1200"/>
              <a:t>Infection Rate/</a:t>
            </a:r>
            <a:r>
              <a:rPr lang="en-US" sz="1200" baseline="0"/>
              <a:t>1000 Bed Days</a:t>
            </a:r>
            <a:endParaRPr lang="en-US" sz="1200"/>
          </a:p>
        </c:rich>
      </c:tx>
      <c:layout>
        <c:manualLayout>
          <c:xMode val="edge"/>
          <c:yMode val="edge"/>
          <c:x val="0.25243051349350559"/>
          <c:y val="3.7328711901442949E-2"/>
        </c:manualLayout>
      </c:layout>
      <c:overlay val="0"/>
    </c:title>
    <c:autoTitleDeleted val="0"/>
    <c:plotArea>
      <c:layout/>
      <c:barChart>
        <c:barDir val="col"/>
        <c:grouping val="clustered"/>
        <c:varyColors val="0"/>
        <c:ser>
          <c:idx val="0"/>
          <c:order val="0"/>
          <c:tx>
            <c:strRef>
              <c:f>Sheet1!$B$1</c:f>
              <c:strCache>
                <c:ptCount val="1"/>
                <c:pt idx="0">
                  <c:v>Q4 21/22</c:v>
                </c:pt>
              </c:strCache>
            </c:strRef>
          </c:tx>
          <c:spPr>
            <a:solidFill>
              <a:schemeClr val="tx2">
                <a:lumMod val="75000"/>
              </a:schemeClr>
            </a:solidFill>
          </c:spPr>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Resp</c:v>
                </c:pt>
                <c:pt idx="1">
                  <c:v>UTI</c:v>
                </c:pt>
                <c:pt idx="2">
                  <c:v>Skin</c:v>
                </c:pt>
                <c:pt idx="3">
                  <c:v>Gastro</c:v>
                </c:pt>
                <c:pt idx="4">
                  <c:v>Other</c:v>
                </c:pt>
              </c:strCache>
            </c:strRef>
          </c:cat>
          <c:val>
            <c:numRef>
              <c:f>Sheet1!$B$2:$B$6</c:f>
              <c:numCache>
                <c:formatCode>General</c:formatCode>
                <c:ptCount val="5"/>
                <c:pt idx="0">
                  <c:v>8.77</c:v>
                </c:pt>
                <c:pt idx="1">
                  <c:v>0.27</c:v>
                </c:pt>
                <c:pt idx="2">
                  <c:v>0.27</c:v>
                </c:pt>
                <c:pt idx="3">
                  <c:v>0</c:v>
                </c:pt>
                <c:pt idx="4">
                  <c:v>0.41</c:v>
                </c:pt>
              </c:numCache>
            </c:numRef>
          </c:val>
          <c:extLst>
            <c:ext xmlns:c16="http://schemas.microsoft.com/office/drawing/2014/chart" uri="{C3380CC4-5D6E-409C-BE32-E72D297353CC}">
              <c16:uniqueId val="{00000000-E4B5-4B78-A41C-AF04E04523D1}"/>
            </c:ext>
          </c:extLst>
        </c:ser>
        <c:ser>
          <c:idx val="1"/>
          <c:order val="1"/>
          <c:tx>
            <c:strRef>
              <c:f>Sheet1!$C$1</c:f>
              <c:strCache>
                <c:ptCount val="1"/>
                <c:pt idx="0">
                  <c:v>Q1 22/23</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Resp</c:v>
                </c:pt>
                <c:pt idx="1">
                  <c:v>UTI</c:v>
                </c:pt>
                <c:pt idx="2">
                  <c:v>Skin</c:v>
                </c:pt>
                <c:pt idx="3">
                  <c:v>Gastro</c:v>
                </c:pt>
                <c:pt idx="4">
                  <c:v>Other</c:v>
                </c:pt>
              </c:strCache>
            </c:strRef>
          </c:cat>
          <c:val>
            <c:numRef>
              <c:f>Sheet1!$C$2:$C$6</c:f>
              <c:numCache>
                <c:formatCode>General</c:formatCode>
                <c:ptCount val="5"/>
                <c:pt idx="0">
                  <c:v>0.13</c:v>
                </c:pt>
                <c:pt idx="1">
                  <c:v>1.04</c:v>
                </c:pt>
                <c:pt idx="2">
                  <c:v>0.13</c:v>
                </c:pt>
                <c:pt idx="3" formatCode="0.00">
                  <c:v>0</c:v>
                </c:pt>
                <c:pt idx="4">
                  <c:v>0.78</c:v>
                </c:pt>
              </c:numCache>
            </c:numRef>
          </c:val>
          <c:extLst>
            <c:ext xmlns:c16="http://schemas.microsoft.com/office/drawing/2014/chart" uri="{C3380CC4-5D6E-409C-BE32-E72D297353CC}">
              <c16:uniqueId val="{00000001-E4B5-4B78-A41C-AF04E04523D1}"/>
            </c:ext>
          </c:extLst>
        </c:ser>
        <c:ser>
          <c:idx val="2"/>
          <c:order val="2"/>
          <c:tx>
            <c:strRef>
              <c:f>Sheet1!$D$1</c:f>
              <c:strCache>
                <c:ptCount val="1"/>
                <c:pt idx="0">
                  <c:v>Q2 22/23</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Resp</c:v>
                </c:pt>
                <c:pt idx="1">
                  <c:v>UTI</c:v>
                </c:pt>
                <c:pt idx="2">
                  <c:v>Skin</c:v>
                </c:pt>
                <c:pt idx="3">
                  <c:v>Gastro</c:v>
                </c:pt>
                <c:pt idx="4">
                  <c:v>Other</c:v>
                </c:pt>
              </c:strCache>
            </c:strRef>
          </c:cat>
          <c:val>
            <c:numRef>
              <c:f>Sheet1!$D$2:$D$6</c:f>
              <c:numCache>
                <c:formatCode>General</c:formatCode>
                <c:ptCount val="5"/>
                <c:pt idx="0">
                  <c:v>0.24</c:v>
                </c:pt>
                <c:pt idx="1">
                  <c:v>0.61</c:v>
                </c:pt>
                <c:pt idx="2">
                  <c:v>0.24</c:v>
                </c:pt>
                <c:pt idx="3">
                  <c:v>0.24</c:v>
                </c:pt>
                <c:pt idx="4">
                  <c:v>0.12</c:v>
                </c:pt>
              </c:numCache>
            </c:numRef>
          </c:val>
          <c:extLst>
            <c:ext xmlns:c16="http://schemas.microsoft.com/office/drawing/2014/chart" uri="{C3380CC4-5D6E-409C-BE32-E72D297353CC}">
              <c16:uniqueId val="{00000002-E4B5-4B78-A41C-AF04E04523D1}"/>
            </c:ext>
          </c:extLst>
        </c:ser>
        <c:ser>
          <c:idx val="3"/>
          <c:order val="3"/>
          <c:tx>
            <c:strRef>
              <c:f>Sheet1!$E$1</c:f>
              <c:strCache>
                <c:ptCount val="1"/>
                <c:pt idx="0">
                  <c:v>Q3 22/23</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Resp</c:v>
                </c:pt>
                <c:pt idx="1">
                  <c:v>UTI</c:v>
                </c:pt>
                <c:pt idx="2">
                  <c:v>Skin</c:v>
                </c:pt>
                <c:pt idx="3">
                  <c:v>Gastro</c:v>
                </c:pt>
                <c:pt idx="4">
                  <c:v>Other</c:v>
                </c:pt>
              </c:strCache>
            </c:strRef>
          </c:cat>
          <c:val>
            <c:numRef>
              <c:f>Sheet1!$E$2:$E$6</c:f>
              <c:numCache>
                <c:formatCode>General</c:formatCode>
                <c:ptCount val="5"/>
                <c:pt idx="0">
                  <c:v>0.62</c:v>
                </c:pt>
                <c:pt idx="1">
                  <c:v>0.62</c:v>
                </c:pt>
                <c:pt idx="2">
                  <c:v>0.87</c:v>
                </c:pt>
                <c:pt idx="3">
                  <c:v>0</c:v>
                </c:pt>
                <c:pt idx="4">
                  <c:v>0.12</c:v>
                </c:pt>
              </c:numCache>
            </c:numRef>
          </c:val>
          <c:extLst>
            <c:ext xmlns:c16="http://schemas.microsoft.com/office/drawing/2014/chart" uri="{C3380CC4-5D6E-409C-BE32-E72D297353CC}">
              <c16:uniqueId val="{00000003-E4B5-4B78-A41C-AF04E04523D1}"/>
            </c:ext>
          </c:extLst>
        </c:ser>
        <c:ser>
          <c:idx val="4"/>
          <c:order val="4"/>
          <c:tx>
            <c:strRef>
              <c:f>Sheet1!$F$1</c:f>
              <c:strCache>
                <c:ptCount val="1"/>
                <c:pt idx="0">
                  <c:v>Q4 22/23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Sheet1!$A$2:$A$6</c:f>
              <c:strCache>
                <c:ptCount val="5"/>
                <c:pt idx="0">
                  <c:v>Resp</c:v>
                </c:pt>
                <c:pt idx="1">
                  <c:v>UTI</c:v>
                </c:pt>
                <c:pt idx="2">
                  <c:v>Skin</c:v>
                </c:pt>
                <c:pt idx="3">
                  <c:v>Gastro</c:v>
                </c:pt>
                <c:pt idx="4">
                  <c:v>Other</c:v>
                </c:pt>
              </c:strCache>
            </c:strRef>
          </c:cat>
          <c:val>
            <c:numRef>
              <c:f>Sheet1!$F$2:$F$6</c:f>
              <c:numCache>
                <c:formatCode>General</c:formatCode>
                <c:ptCount val="5"/>
                <c:pt idx="0">
                  <c:v>1.49</c:v>
                </c:pt>
                <c:pt idx="1">
                  <c:v>1.62</c:v>
                </c:pt>
                <c:pt idx="2">
                  <c:v>1.49</c:v>
                </c:pt>
                <c:pt idx="3">
                  <c:v>0.12</c:v>
                </c:pt>
                <c:pt idx="4">
                  <c:v>0.62</c:v>
                </c:pt>
              </c:numCache>
            </c:numRef>
          </c:val>
          <c:extLst>
            <c:ext xmlns:c16="http://schemas.microsoft.com/office/drawing/2014/chart" uri="{C3380CC4-5D6E-409C-BE32-E72D297353CC}">
              <c16:uniqueId val="{00000004-E4B5-4B78-A41C-AF04E04523D1}"/>
            </c:ext>
          </c:extLst>
        </c:ser>
        <c:dLbls>
          <c:showLegendKey val="0"/>
          <c:showVal val="0"/>
          <c:showCatName val="0"/>
          <c:showSerName val="0"/>
          <c:showPercent val="0"/>
          <c:showBubbleSize val="0"/>
        </c:dLbls>
        <c:gapWidth val="150"/>
        <c:axId val="146843904"/>
        <c:axId val="146857984"/>
      </c:barChart>
      <c:catAx>
        <c:axId val="146843904"/>
        <c:scaling>
          <c:orientation val="minMax"/>
        </c:scaling>
        <c:delete val="0"/>
        <c:axPos val="b"/>
        <c:numFmt formatCode="General" sourceLinked="0"/>
        <c:majorTickMark val="none"/>
        <c:minorTickMark val="none"/>
        <c:tickLblPos val="nextTo"/>
        <c:crossAx val="146857984"/>
        <c:crosses val="autoZero"/>
        <c:auto val="1"/>
        <c:lblAlgn val="ctr"/>
        <c:lblOffset val="100"/>
        <c:noMultiLvlLbl val="0"/>
      </c:catAx>
      <c:valAx>
        <c:axId val="146857984"/>
        <c:scaling>
          <c:orientation val="minMax"/>
          <c:max val="10"/>
        </c:scaling>
        <c:delete val="0"/>
        <c:axPos val="l"/>
        <c:majorGridlines/>
        <c:numFmt formatCode="General" sourceLinked="1"/>
        <c:majorTickMark val="none"/>
        <c:minorTickMark val="none"/>
        <c:tickLblPos val="nextTo"/>
        <c:crossAx val="14684390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i="0" baseline="0">
                <a:effectLst/>
              </a:rPr>
              <a:t>Shoreham Village - </a:t>
            </a:r>
            <a:r>
              <a:rPr lang="en-US" sz="1200"/>
              <a:t>Hand</a:t>
            </a:r>
            <a:r>
              <a:rPr lang="en-US" sz="1200" baseline="0"/>
              <a:t> Hygiene </a:t>
            </a:r>
            <a:endParaRPr lang="en-US" sz="1200"/>
          </a:p>
        </c:rich>
      </c:tx>
      <c:layout/>
      <c:overlay val="0"/>
    </c:title>
    <c:autoTitleDeleted val="0"/>
    <c:plotArea>
      <c:layout/>
      <c:barChart>
        <c:barDir val="col"/>
        <c:grouping val="clustered"/>
        <c:varyColors val="0"/>
        <c:ser>
          <c:idx val="0"/>
          <c:order val="0"/>
          <c:tx>
            <c:strRef>
              <c:f>Sheet1!$B$1</c:f>
              <c:strCache>
                <c:ptCount val="1"/>
                <c:pt idx="0">
                  <c:v>Q4 21/22</c:v>
                </c:pt>
              </c:strCache>
            </c:strRef>
          </c:tx>
          <c:spPr>
            <a:solidFill>
              <a:schemeClr val="tx2">
                <a:lumMod val="75000"/>
              </a:schemeClr>
            </a:solidFill>
          </c:spPr>
          <c:invertIfNegative val="0"/>
          <c:dPt>
            <c:idx val="0"/>
            <c:invertIfNegative val="0"/>
            <c:bubble3D val="0"/>
            <c:spPr>
              <a:pattFill prst="ltDnDiag">
                <a:fgClr>
                  <a:schemeClr val="tx2">
                    <a:lumMod val="75000"/>
                  </a:schemeClr>
                </a:fgClr>
                <a:bgClr>
                  <a:schemeClr val="bg1"/>
                </a:bgClr>
              </a:pattFill>
            </c:spPr>
            <c:extLst>
              <c:ext xmlns:c16="http://schemas.microsoft.com/office/drawing/2014/chart" uri="{C3380CC4-5D6E-409C-BE32-E72D297353CC}">
                <c16:uniqueId val="{00000000-42FA-4545-946A-AD557E71A10C}"/>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Compliance Rate</c:v>
                </c:pt>
              </c:strCache>
            </c:strRef>
          </c:cat>
          <c:val>
            <c:numRef>
              <c:f>Sheet1!$B$2</c:f>
              <c:numCache>
                <c:formatCode>0.00%</c:formatCode>
                <c:ptCount val="1"/>
                <c:pt idx="0">
                  <c:v>0.97</c:v>
                </c:pt>
              </c:numCache>
            </c:numRef>
          </c:val>
          <c:extLst>
            <c:ext xmlns:c16="http://schemas.microsoft.com/office/drawing/2014/chart" uri="{C3380CC4-5D6E-409C-BE32-E72D297353CC}">
              <c16:uniqueId val="{00000000-FB36-425A-AA76-FB48C433845D}"/>
            </c:ext>
          </c:extLst>
        </c:ser>
        <c:ser>
          <c:idx val="1"/>
          <c:order val="1"/>
          <c:tx>
            <c:strRef>
              <c:f>Sheet1!$C$1</c:f>
              <c:strCache>
                <c:ptCount val="1"/>
                <c:pt idx="0">
                  <c:v>Q1 22/23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Compliance Rate</c:v>
                </c:pt>
              </c:strCache>
            </c:strRef>
          </c:cat>
          <c:val>
            <c:numRef>
              <c:f>Sheet1!$C$2</c:f>
              <c:numCache>
                <c:formatCode>0.00%</c:formatCode>
                <c:ptCount val="1"/>
                <c:pt idx="0">
                  <c:v>0.95299999999999996</c:v>
                </c:pt>
              </c:numCache>
            </c:numRef>
          </c:val>
          <c:extLst>
            <c:ext xmlns:c16="http://schemas.microsoft.com/office/drawing/2014/chart" uri="{C3380CC4-5D6E-409C-BE32-E72D297353CC}">
              <c16:uniqueId val="{00000001-FB36-425A-AA76-FB48C433845D}"/>
            </c:ext>
          </c:extLst>
        </c:ser>
        <c:ser>
          <c:idx val="2"/>
          <c:order val="2"/>
          <c:tx>
            <c:strRef>
              <c:f>Sheet1!$D$1</c:f>
              <c:strCache>
                <c:ptCount val="1"/>
                <c:pt idx="0">
                  <c:v>Q2 22/23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Compliance Rate</c:v>
                </c:pt>
              </c:strCache>
            </c:strRef>
          </c:cat>
          <c:val>
            <c:numRef>
              <c:f>Sheet1!$D$2</c:f>
              <c:numCache>
                <c:formatCode>0.00%</c:formatCode>
                <c:ptCount val="1"/>
                <c:pt idx="0">
                  <c:v>0.97</c:v>
                </c:pt>
              </c:numCache>
            </c:numRef>
          </c:val>
          <c:extLst>
            <c:ext xmlns:c16="http://schemas.microsoft.com/office/drawing/2014/chart" uri="{C3380CC4-5D6E-409C-BE32-E72D297353CC}">
              <c16:uniqueId val="{00000002-FB36-425A-AA76-FB48C433845D}"/>
            </c:ext>
          </c:extLst>
        </c:ser>
        <c:ser>
          <c:idx val="3"/>
          <c:order val="3"/>
          <c:tx>
            <c:strRef>
              <c:f>Sheet1!$E$1</c:f>
              <c:strCache>
                <c:ptCount val="1"/>
                <c:pt idx="0">
                  <c:v>Q3 22/23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Compliance Rate</c:v>
                </c:pt>
              </c:strCache>
            </c:strRef>
          </c:cat>
          <c:val>
            <c:numRef>
              <c:f>Sheet1!$E$2</c:f>
              <c:numCache>
                <c:formatCode>0%</c:formatCode>
                <c:ptCount val="1"/>
                <c:pt idx="0">
                  <c:v>0.97</c:v>
                </c:pt>
              </c:numCache>
            </c:numRef>
          </c:val>
          <c:extLst>
            <c:ext xmlns:c16="http://schemas.microsoft.com/office/drawing/2014/chart" uri="{C3380CC4-5D6E-409C-BE32-E72D297353CC}">
              <c16:uniqueId val="{00000003-FB36-425A-AA76-FB48C433845D}"/>
            </c:ext>
          </c:extLst>
        </c:ser>
        <c:ser>
          <c:idx val="4"/>
          <c:order val="4"/>
          <c:tx>
            <c:strRef>
              <c:f>Sheet1!$F$1</c:f>
              <c:strCache>
                <c:ptCount val="1"/>
                <c:pt idx="0">
                  <c:v>Q4 22/23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c:f>
              <c:strCache>
                <c:ptCount val="1"/>
                <c:pt idx="0">
                  <c:v>Compliance Rate</c:v>
                </c:pt>
              </c:strCache>
            </c:strRef>
          </c:cat>
          <c:val>
            <c:numRef>
              <c:f>Sheet1!$F$2</c:f>
              <c:numCache>
                <c:formatCode>0%</c:formatCode>
                <c:ptCount val="1"/>
                <c:pt idx="0">
                  <c:v>0.98</c:v>
                </c:pt>
              </c:numCache>
            </c:numRef>
          </c:val>
          <c:extLst>
            <c:ext xmlns:c16="http://schemas.microsoft.com/office/drawing/2014/chart" uri="{C3380CC4-5D6E-409C-BE32-E72D297353CC}">
              <c16:uniqueId val="{00000004-FB36-425A-AA76-FB48C433845D}"/>
            </c:ext>
          </c:extLst>
        </c:ser>
        <c:dLbls>
          <c:showLegendKey val="0"/>
          <c:showVal val="0"/>
          <c:showCatName val="0"/>
          <c:showSerName val="0"/>
          <c:showPercent val="0"/>
          <c:showBubbleSize val="0"/>
        </c:dLbls>
        <c:gapWidth val="150"/>
        <c:axId val="152172800"/>
        <c:axId val="154701824"/>
      </c:barChart>
      <c:catAx>
        <c:axId val="152172800"/>
        <c:scaling>
          <c:orientation val="minMax"/>
        </c:scaling>
        <c:delete val="0"/>
        <c:axPos val="b"/>
        <c:numFmt formatCode="General" sourceLinked="0"/>
        <c:majorTickMark val="none"/>
        <c:minorTickMark val="none"/>
        <c:tickLblPos val="nextTo"/>
        <c:crossAx val="154701824"/>
        <c:crosses val="autoZero"/>
        <c:auto val="1"/>
        <c:lblAlgn val="ctr"/>
        <c:lblOffset val="100"/>
        <c:noMultiLvlLbl val="0"/>
      </c:catAx>
      <c:valAx>
        <c:axId val="154701824"/>
        <c:scaling>
          <c:orientation val="minMax"/>
          <c:max val="1"/>
          <c:min val="0.8"/>
        </c:scaling>
        <c:delete val="0"/>
        <c:axPos val="l"/>
        <c:majorGridlines/>
        <c:numFmt formatCode="0.00%" sourceLinked="1"/>
        <c:majorTickMark val="none"/>
        <c:minorTickMark val="none"/>
        <c:tickLblPos val="nextTo"/>
        <c:crossAx val="152172800"/>
        <c:crosses val="autoZero"/>
        <c:crossBetween val="between"/>
        <c:majorUnit val="5.000000000000001E-2"/>
      </c:valAx>
    </c:plotArea>
    <c:legend>
      <c:legendPos val="b"/>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400" baseline="0">
                <a:solidFill>
                  <a:sysClr val="windowText" lastClr="000000"/>
                </a:solidFill>
              </a:rPr>
              <a:t>Shoreham Village - Volunteers</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7.4266841644794412E-2"/>
          <c:y val="0.14116907261592301"/>
          <c:w val="0.89019685039370144"/>
          <c:h val="0.67502867697093416"/>
        </c:manualLayout>
      </c:layout>
      <c:barChart>
        <c:barDir val="col"/>
        <c:grouping val="clustered"/>
        <c:varyColors val="0"/>
        <c:ser>
          <c:idx val="0"/>
          <c:order val="0"/>
          <c:tx>
            <c:strRef>
              <c:f>Sheet1!$C$1</c:f>
              <c:strCache>
                <c:ptCount val="1"/>
                <c:pt idx="0">
                  <c:v>Number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Sheet1!$A$2:$B$6</c:f>
              <c:strCache>
                <c:ptCount val="4"/>
                <c:pt idx="1">
                  <c:v>Active Volunteers</c:v>
                </c:pt>
                <c:pt idx="2">
                  <c:v>New Volunteers</c:v>
                </c:pt>
                <c:pt idx="3">
                  <c:v>Retired/Inactive Volunteers</c:v>
                </c:pt>
              </c:strCache>
            </c:strRef>
          </c:cat>
          <c:val>
            <c:numRef>
              <c:f>Sheet1!$C$2:$C$6</c:f>
              <c:numCache>
                <c:formatCode>General</c:formatCode>
                <c:ptCount val="5"/>
                <c:pt idx="1">
                  <c:v>113</c:v>
                </c:pt>
                <c:pt idx="2">
                  <c:v>3</c:v>
                </c:pt>
                <c:pt idx="3">
                  <c:v>0</c:v>
                </c:pt>
              </c:numCache>
            </c:numRef>
          </c:val>
          <c:extLst>
            <c:ext xmlns:c16="http://schemas.microsoft.com/office/drawing/2014/chart" uri="{C3380CC4-5D6E-409C-BE32-E72D297353CC}">
              <c16:uniqueId val="{00000000-DFF0-474E-9349-BCAAD3DE69D5}"/>
            </c:ext>
          </c:extLst>
        </c:ser>
        <c:dLbls>
          <c:showLegendKey val="0"/>
          <c:showVal val="0"/>
          <c:showCatName val="0"/>
          <c:showSerName val="0"/>
          <c:showPercent val="0"/>
          <c:showBubbleSize val="0"/>
        </c:dLbls>
        <c:gapWidth val="100"/>
        <c:overlap val="-24"/>
        <c:axId val="162444800"/>
        <c:axId val="162446336"/>
      </c:barChart>
      <c:catAx>
        <c:axId val="162444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2446336"/>
        <c:crosses val="autoZero"/>
        <c:auto val="1"/>
        <c:lblAlgn val="ctr"/>
        <c:lblOffset val="100"/>
        <c:noMultiLvlLbl val="0"/>
      </c:catAx>
      <c:valAx>
        <c:axId val="162446336"/>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2444800"/>
        <c:crosses val="autoZero"/>
        <c:crossBetween val="between"/>
        <c:majorUnit val="25"/>
      </c:valAx>
      <c:spPr>
        <a:noFill/>
        <a:ln>
          <a:noFill/>
        </a:ln>
        <a:effectLst/>
      </c:spPr>
    </c:plotArea>
    <c:plotVisOnly val="1"/>
    <c:dispBlanksAs val="gap"/>
    <c:showDLblsOverMax val="0"/>
  </c:chart>
  <c:spPr>
    <a:solidFill>
      <a:schemeClr val="bg1"/>
    </a:solidFill>
    <a:ln w="9525" cap="flat" cmpd="sng" algn="ctr">
      <a:solidFill>
        <a:schemeClr val="tx1"/>
      </a:solid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8001F-23B2-443F-B20D-4F25ADD3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1936</Words>
  <Characters>11039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psargenthamer</dc:creator>
  <cp:lastModifiedBy>Tammy Leopold</cp:lastModifiedBy>
  <cp:revision>2</cp:revision>
  <cp:lastPrinted>2018-09-05T02:14:00Z</cp:lastPrinted>
  <dcterms:created xsi:type="dcterms:W3CDTF">2023-04-25T14:08:00Z</dcterms:created>
  <dcterms:modified xsi:type="dcterms:W3CDTF">2023-04-25T14:08:00Z</dcterms:modified>
</cp:coreProperties>
</file>